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498A8" w14:textId="358A5247" w:rsidR="00802FC1" w:rsidRPr="001E35D3" w:rsidRDefault="00802FC1" w:rsidP="006C1151">
      <w:pPr>
        <w:rPr>
          <w:rFonts w:ascii="Aptos" w:hAnsi="Aptos" w:cstheme="minorHAnsi"/>
          <w:b/>
        </w:rPr>
      </w:pPr>
    </w:p>
    <w:p w14:paraId="0211513B" w14:textId="16833D4B" w:rsidR="00802FC1" w:rsidRPr="001E35D3" w:rsidRDefault="00754CB1" w:rsidP="006C1151">
      <w:pPr>
        <w:rPr>
          <w:rFonts w:ascii="Aptos" w:hAnsi="Aptos" w:cstheme="minorHAnsi"/>
          <w:b/>
        </w:rPr>
      </w:pPr>
      <w:r w:rsidRPr="001E35D3">
        <w:rPr>
          <w:rFonts w:ascii="Aptos" w:hAnsi="Aptos" w:cstheme="minorHAnsi"/>
          <w:noProof/>
          <w:sz w:val="14"/>
          <w:szCs w:val="14"/>
        </w:rPr>
        <mc:AlternateContent>
          <mc:Choice Requires="wps">
            <w:drawing>
              <wp:anchor distT="0" distB="0" distL="114300" distR="114300" simplePos="0" relativeHeight="251658241" behindDoc="0" locked="0" layoutInCell="1" allowOverlap="1" wp14:anchorId="413B5B05" wp14:editId="3D07C79D">
                <wp:simplePos x="0" y="0"/>
                <wp:positionH relativeFrom="margin">
                  <wp:posOffset>4410075</wp:posOffset>
                </wp:positionH>
                <wp:positionV relativeFrom="paragraph">
                  <wp:posOffset>10795</wp:posOffset>
                </wp:positionV>
                <wp:extent cx="2130425" cy="1812925"/>
                <wp:effectExtent l="0" t="0" r="3175" b="0"/>
                <wp:wrapSquare wrapText="bothSides"/>
                <wp:docPr id="2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0425" cy="1812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79FCCD" w14:textId="77777777" w:rsidR="00426896" w:rsidRPr="001E35D3" w:rsidRDefault="00426896" w:rsidP="00426896">
                            <w:pPr>
                              <w:pStyle w:val="BalloonText"/>
                              <w:rPr>
                                <w:rFonts w:ascii="Aptos" w:hAnsi="Aptos" w:cs="Calibri Light"/>
                                <w:sz w:val="16"/>
                                <w:szCs w:val="16"/>
                              </w:rPr>
                            </w:pPr>
                            <w:r w:rsidRPr="001E35D3">
                              <w:rPr>
                                <w:rFonts w:ascii="Aptos" w:hAnsi="Aptos" w:cs="Calibri Light"/>
                                <w:sz w:val="16"/>
                                <w:szCs w:val="16"/>
                              </w:rPr>
                              <w:t>Deloitte &amp; Touche LLP</w:t>
                            </w:r>
                          </w:p>
                          <w:p w14:paraId="1FE43398" w14:textId="77777777" w:rsidR="00426896" w:rsidRPr="001E35D3" w:rsidRDefault="00426896" w:rsidP="00426896">
                            <w:pPr>
                              <w:pStyle w:val="BalloonText"/>
                              <w:rPr>
                                <w:rFonts w:ascii="Aptos" w:hAnsi="Aptos" w:cs="Calibri Light"/>
                                <w:sz w:val="16"/>
                                <w:szCs w:val="16"/>
                              </w:rPr>
                            </w:pPr>
                            <w:r w:rsidRPr="001E35D3">
                              <w:rPr>
                                <w:rFonts w:ascii="Aptos" w:hAnsi="Aptos" w:cs="Calibri Light"/>
                                <w:sz w:val="16"/>
                                <w:szCs w:val="16"/>
                              </w:rPr>
                              <w:t>Certified Public Accountants (Kenya)</w:t>
                            </w:r>
                          </w:p>
                          <w:p w14:paraId="109C1002" w14:textId="77777777" w:rsidR="00426896" w:rsidRPr="001E35D3" w:rsidRDefault="00426896" w:rsidP="00426896">
                            <w:pPr>
                              <w:pStyle w:val="BalloonText"/>
                              <w:rPr>
                                <w:rFonts w:ascii="Aptos" w:hAnsi="Aptos" w:cs="Calibri Light"/>
                                <w:sz w:val="16"/>
                                <w:szCs w:val="16"/>
                              </w:rPr>
                            </w:pPr>
                            <w:r w:rsidRPr="001E35D3">
                              <w:rPr>
                                <w:rFonts w:ascii="Aptos" w:hAnsi="Aptos" w:cs="Calibri Light"/>
                                <w:sz w:val="16"/>
                                <w:szCs w:val="16"/>
                              </w:rPr>
                              <w:t>Deloitte Place, Waiyaki Way, Muthangari</w:t>
                            </w:r>
                          </w:p>
                          <w:p w14:paraId="4E1EE2A2" w14:textId="77777777" w:rsidR="00426896" w:rsidRPr="001E35D3" w:rsidRDefault="00426896" w:rsidP="00426896">
                            <w:pPr>
                              <w:pStyle w:val="BalloonText"/>
                              <w:rPr>
                                <w:rFonts w:ascii="Aptos" w:hAnsi="Aptos" w:cs="Calibri Light"/>
                                <w:sz w:val="16"/>
                                <w:szCs w:val="16"/>
                              </w:rPr>
                            </w:pPr>
                            <w:r w:rsidRPr="001E35D3">
                              <w:rPr>
                                <w:rFonts w:ascii="Aptos" w:hAnsi="Aptos" w:cs="Calibri Light"/>
                                <w:sz w:val="16"/>
                                <w:szCs w:val="16"/>
                              </w:rPr>
                              <w:t>P.O. Box 40092 - GPO 00100</w:t>
                            </w:r>
                          </w:p>
                          <w:p w14:paraId="11E94CC0" w14:textId="77777777" w:rsidR="00426896" w:rsidRPr="001E35D3" w:rsidRDefault="00426896" w:rsidP="00426896">
                            <w:pPr>
                              <w:pStyle w:val="BalloonText"/>
                              <w:rPr>
                                <w:rFonts w:ascii="Aptos" w:hAnsi="Aptos" w:cs="Calibri Light"/>
                                <w:sz w:val="16"/>
                                <w:szCs w:val="16"/>
                                <w:lang w:val="fr-FR"/>
                              </w:rPr>
                            </w:pPr>
                            <w:r w:rsidRPr="001E35D3">
                              <w:rPr>
                                <w:rFonts w:ascii="Aptos" w:hAnsi="Aptos" w:cs="Calibri Light"/>
                                <w:sz w:val="16"/>
                                <w:szCs w:val="16"/>
                                <w:lang w:val="fr-FR"/>
                              </w:rPr>
                              <w:t>Nairobi, Kenya</w:t>
                            </w:r>
                          </w:p>
                          <w:p w14:paraId="3E322ACE" w14:textId="77777777" w:rsidR="00426896" w:rsidRPr="001E35D3" w:rsidRDefault="00426896" w:rsidP="00426896">
                            <w:pPr>
                              <w:pStyle w:val="BalloonText"/>
                              <w:rPr>
                                <w:rFonts w:ascii="Aptos" w:hAnsi="Aptos" w:cs="Calibri Light"/>
                                <w:sz w:val="16"/>
                                <w:szCs w:val="16"/>
                                <w:lang w:val="fr-FR"/>
                              </w:rPr>
                            </w:pPr>
                          </w:p>
                          <w:p w14:paraId="25A0FE80" w14:textId="77777777" w:rsidR="00426896" w:rsidRPr="001E35D3" w:rsidRDefault="00426896" w:rsidP="00426896">
                            <w:pPr>
                              <w:pStyle w:val="BalloonText"/>
                              <w:rPr>
                                <w:rFonts w:ascii="Aptos" w:hAnsi="Aptos" w:cs="Calibri Light"/>
                                <w:sz w:val="16"/>
                                <w:szCs w:val="16"/>
                                <w:lang w:val="fr-FR"/>
                              </w:rPr>
                            </w:pPr>
                            <w:r w:rsidRPr="001E35D3">
                              <w:rPr>
                                <w:rFonts w:ascii="Aptos" w:hAnsi="Aptos" w:cs="Calibri Light"/>
                                <w:sz w:val="16"/>
                                <w:szCs w:val="16"/>
                                <w:lang w:val="fr-FR"/>
                              </w:rPr>
                              <w:t>Tel: (+254 20) 423 0000</w:t>
                            </w:r>
                          </w:p>
                          <w:p w14:paraId="2C5029ED" w14:textId="77777777" w:rsidR="00426896" w:rsidRPr="001E35D3" w:rsidRDefault="00426896" w:rsidP="00426896">
                            <w:pPr>
                              <w:pStyle w:val="BalloonText"/>
                              <w:rPr>
                                <w:rFonts w:ascii="Aptos" w:hAnsi="Aptos" w:cs="Calibri Light"/>
                                <w:sz w:val="16"/>
                                <w:szCs w:val="16"/>
                                <w:lang w:val="fr-FR"/>
                              </w:rPr>
                            </w:pPr>
                            <w:r w:rsidRPr="001E35D3">
                              <w:rPr>
                                <w:rFonts w:ascii="Aptos" w:hAnsi="Aptos" w:cs="Calibri Light"/>
                                <w:sz w:val="16"/>
                                <w:szCs w:val="16"/>
                                <w:lang w:val="fr-FR"/>
                              </w:rPr>
                              <w:t>Fax: (+254 20) 444 8966</w:t>
                            </w:r>
                          </w:p>
                          <w:p w14:paraId="1A653022" w14:textId="77777777" w:rsidR="00426896" w:rsidRPr="001E35D3" w:rsidRDefault="00426896" w:rsidP="00426896">
                            <w:pPr>
                              <w:pStyle w:val="BalloonText"/>
                              <w:rPr>
                                <w:rFonts w:ascii="Aptos" w:hAnsi="Aptos" w:cs="Calibri Light"/>
                                <w:sz w:val="16"/>
                                <w:szCs w:val="16"/>
                                <w:lang w:val="fr-FR"/>
                              </w:rPr>
                            </w:pPr>
                            <w:r w:rsidRPr="001E35D3">
                              <w:rPr>
                                <w:rFonts w:ascii="Aptos" w:hAnsi="Aptos" w:cs="Calibri Light"/>
                                <w:sz w:val="16"/>
                                <w:szCs w:val="16"/>
                                <w:lang w:val="fr-FR"/>
                              </w:rPr>
                              <w:t>Email: admin@deloitte.co.ke</w:t>
                            </w:r>
                          </w:p>
                          <w:p w14:paraId="36F44352" w14:textId="77777777" w:rsidR="00426896" w:rsidRPr="001E35D3" w:rsidRDefault="00426896" w:rsidP="00426896">
                            <w:pPr>
                              <w:pStyle w:val="BalloonText"/>
                              <w:rPr>
                                <w:rFonts w:ascii="Aptos" w:hAnsi="Aptos" w:cs="Calibri Light"/>
                                <w:sz w:val="16"/>
                                <w:szCs w:val="16"/>
                              </w:rPr>
                            </w:pPr>
                            <w:r w:rsidRPr="001E35D3">
                              <w:rPr>
                                <w:rFonts w:ascii="Aptos" w:hAnsi="Aptos" w:cs="Calibri Light"/>
                                <w:sz w:val="16"/>
                                <w:szCs w:val="16"/>
                              </w:rPr>
                              <w:t>www.deloitte.com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3B5B05" id="_x0000_t202" coordsize="21600,21600" o:spt="202" path="m,l,21600r21600,l21600,xe">
                <v:stroke joinstyle="miter"/>
                <v:path gradientshapeok="t" o:connecttype="rect"/>
              </v:shapetype>
              <v:shape id="Text Box 3" o:spid="_x0000_s1026" type="#_x0000_t202" style="position:absolute;margin-left:347.25pt;margin-top:.85pt;width:167.75pt;height:142.7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" stroked="f">
                <v:textbox>
                  <w:txbxContent>
                    <w:p w14:paraId="6179FCCD" w14:textId="77777777" w:rsidR="00426896" w:rsidRPr="001E35D3" w:rsidRDefault="00426896" w:rsidP="00426896">
                      <w:pPr>
                        <w:pStyle w:val="BalloonText"/>
                        <w:rPr>
                          <w:rFonts w:ascii="Aptos" w:hAnsi="Aptos" w:cs="Calibri Light"/>
                          <w:sz w:val="16"/>
                          <w:szCs w:val="16"/>
                        </w:rPr>
                      </w:pPr>
                      <w:r w:rsidRPr="001E35D3">
                        <w:rPr>
                          <w:rFonts w:ascii="Aptos" w:hAnsi="Aptos" w:cs="Calibri Light"/>
                          <w:sz w:val="16"/>
                          <w:szCs w:val="16"/>
                        </w:rPr>
                        <w:t>Deloitte &amp; Touche LLP</w:t>
                      </w:r>
                    </w:p>
                    <w:p w14:paraId="1FE43398" w14:textId="77777777" w:rsidR="00426896" w:rsidRPr="001E35D3" w:rsidRDefault="00426896" w:rsidP="00426896">
                      <w:pPr>
                        <w:pStyle w:val="BalloonText"/>
                        <w:rPr>
                          <w:rFonts w:ascii="Aptos" w:hAnsi="Aptos" w:cs="Calibri Light"/>
                          <w:sz w:val="16"/>
                          <w:szCs w:val="16"/>
                        </w:rPr>
                      </w:pPr>
                      <w:r w:rsidRPr="001E35D3">
                        <w:rPr>
                          <w:rFonts w:ascii="Aptos" w:hAnsi="Aptos" w:cs="Calibri Light"/>
                          <w:sz w:val="16"/>
                          <w:szCs w:val="16"/>
                        </w:rPr>
                        <w:t>Certified Public Accountants (Kenya)</w:t>
                      </w:r>
                    </w:p>
                    <w:p w14:paraId="109C1002" w14:textId="77777777" w:rsidR="00426896" w:rsidRPr="001E35D3" w:rsidRDefault="00426896" w:rsidP="00426896">
                      <w:pPr>
                        <w:pStyle w:val="BalloonText"/>
                        <w:rPr>
                          <w:rFonts w:ascii="Aptos" w:hAnsi="Aptos" w:cs="Calibri Light"/>
                          <w:sz w:val="16"/>
                          <w:szCs w:val="16"/>
                        </w:rPr>
                      </w:pPr>
                      <w:r w:rsidRPr="001E35D3">
                        <w:rPr>
                          <w:rFonts w:ascii="Aptos" w:hAnsi="Aptos" w:cs="Calibri Light"/>
                          <w:sz w:val="16"/>
                          <w:szCs w:val="16"/>
                        </w:rPr>
                        <w:t>Deloitte Place, Waiyaki Way, Muthangari</w:t>
                      </w:r>
                    </w:p>
                    <w:p w14:paraId="4E1EE2A2" w14:textId="77777777" w:rsidR="00426896" w:rsidRPr="001E35D3" w:rsidRDefault="00426896" w:rsidP="00426896">
                      <w:pPr>
                        <w:pStyle w:val="BalloonText"/>
                        <w:rPr>
                          <w:rFonts w:ascii="Aptos" w:hAnsi="Aptos" w:cs="Calibri Light"/>
                          <w:sz w:val="16"/>
                          <w:szCs w:val="16"/>
                        </w:rPr>
                      </w:pPr>
                      <w:r w:rsidRPr="001E35D3">
                        <w:rPr>
                          <w:rFonts w:ascii="Aptos" w:hAnsi="Aptos" w:cs="Calibri Light"/>
                          <w:sz w:val="16"/>
                          <w:szCs w:val="16"/>
                        </w:rPr>
                        <w:t>P.O. Box 40092 - GPO 00100</w:t>
                      </w:r>
                    </w:p>
                    <w:p w14:paraId="11E94CC0" w14:textId="77777777" w:rsidR="00426896" w:rsidRPr="001E35D3" w:rsidRDefault="00426896" w:rsidP="00426896">
                      <w:pPr>
                        <w:pStyle w:val="BalloonText"/>
                        <w:rPr>
                          <w:rFonts w:ascii="Aptos" w:hAnsi="Aptos" w:cs="Calibri Light"/>
                          <w:sz w:val="16"/>
                          <w:szCs w:val="16"/>
                          <w:lang w:val="fr-FR"/>
                        </w:rPr>
                      </w:pPr>
                      <w:r w:rsidRPr="001E35D3">
                        <w:rPr>
                          <w:rFonts w:ascii="Aptos" w:hAnsi="Aptos" w:cs="Calibri Light"/>
                          <w:sz w:val="16"/>
                          <w:szCs w:val="16"/>
                          <w:lang w:val="fr-FR"/>
                        </w:rPr>
                        <w:t>Nairobi, Kenya</w:t>
                      </w:r>
                    </w:p>
                    <w:p w14:paraId="3E322ACE" w14:textId="77777777" w:rsidR="00426896" w:rsidRPr="001E35D3" w:rsidRDefault="00426896" w:rsidP="00426896">
                      <w:pPr>
                        <w:pStyle w:val="BalloonText"/>
                        <w:rPr>
                          <w:rFonts w:ascii="Aptos" w:hAnsi="Aptos" w:cs="Calibri Light"/>
                          <w:sz w:val="16"/>
                          <w:szCs w:val="16"/>
                          <w:lang w:val="fr-FR"/>
                        </w:rPr>
                      </w:pPr>
                    </w:p>
                    <w:p w14:paraId="25A0FE80" w14:textId="77777777" w:rsidR="00426896" w:rsidRPr="001E35D3" w:rsidRDefault="00426896" w:rsidP="00426896">
                      <w:pPr>
                        <w:pStyle w:val="BalloonText"/>
                        <w:rPr>
                          <w:rFonts w:ascii="Aptos" w:hAnsi="Aptos" w:cs="Calibri Light"/>
                          <w:sz w:val="16"/>
                          <w:szCs w:val="16"/>
                          <w:lang w:val="fr-FR"/>
                        </w:rPr>
                      </w:pPr>
                      <w:r w:rsidRPr="001E35D3">
                        <w:rPr>
                          <w:rFonts w:ascii="Aptos" w:hAnsi="Aptos" w:cs="Calibri Light"/>
                          <w:sz w:val="16"/>
                          <w:szCs w:val="16"/>
                          <w:lang w:val="fr-FR"/>
                        </w:rPr>
                        <w:t>Tel: (+254 20) 423 0000</w:t>
                      </w:r>
                    </w:p>
                    <w:p w14:paraId="2C5029ED" w14:textId="77777777" w:rsidR="00426896" w:rsidRPr="001E35D3" w:rsidRDefault="00426896" w:rsidP="00426896">
                      <w:pPr>
                        <w:pStyle w:val="BalloonText"/>
                        <w:rPr>
                          <w:rFonts w:ascii="Aptos" w:hAnsi="Aptos" w:cs="Calibri Light"/>
                          <w:sz w:val="16"/>
                          <w:szCs w:val="16"/>
                          <w:lang w:val="fr-FR"/>
                        </w:rPr>
                      </w:pPr>
                      <w:r w:rsidRPr="001E35D3">
                        <w:rPr>
                          <w:rFonts w:ascii="Aptos" w:hAnsi="Aptos" w:cs="Calibri Light"/>
                          <w:sz w:val="16"/>
                          <w:szCs w:val="16"/>
                          <w:lang w:val="fr-FR"/>
                        </w:rPr>
                        <w:t>Fax: (+254 20) 444 8966</w:t>
                      </w:r>
                    </w:p>
                    <w:p w14:paraId="1A653022" w14:textId="77777777" w:rsidR="00426896" w:rsidRPr="001E35D3" w:rsidRDefault="00426896" w:rsidP="00426896">
                      <w:pPr>
                        <w:pStyle w:val="BalloonText"/>
                        <w:rPr>
                          <w:rFonts w:ascii="Aptos" w:hAnsi="Aptos" w:cs="Calibri Light"/>
                          <w:sz w:val="16"/>
                          <w:szCs w:val="16"/>
                          <w:lang w:val="fr-FR"/>
                        </w:rPr>
                      </w:pPr>
                      <w:r w:rsidRPr="001E35D3">
                        <w:rPr>
                          <w:rFonts w:ascii="Aptos" w:hAnsi="Aptos" w:cs="Calibri Light"/>
                          <w:sz w:val="16"/>
                          <w:szCs w:val="16"/>
                          <w:lang w:val="fr-FR"/>
                        </w:rPr>
                        <w:t>Email: admin@deloitte.co.ke</w:t>
                      </w:r>
                    </w:p>
                    <w:p w14:paraId="36F44352" w14:textId="77777777" w:rsidR="00426896" w:rsidRPr="001E35D3" w:rsidRDefault="00426896" w:rsidP="00426896">
                      <w:pPr>
                        <w:pStyle w:val="BalloonText"/>
                        <w:rPr>
                          <w:rFonts w:ascii="Aptos" w:hAnsi="Aptos" w:cs="Calibri Light"/>
                          <w:sz w:val="16"/>
                          <w:szCs w:val="16"/>
                        </w:rPr>
                      </w:pPr>
                      <w:r w:rsidRPr="001E35D3">
                        <w:rPr>
                          <w:rFonts w:ascii="Aptos" w:hAnsi="Aptos" w:cs="Calibri Light"/>
                          <w:sz w:val="16"/>
                          <w:szCs w:val="16"/>
                        </w:rPr>
                        <w:t>www.deloitte.com</w:t>
                      </w:r>
                    </w:p>
                  </w:txbxContent>
                </v:textbox>
                <w10:wrap type="square" anchorx="margin"/>
              </v:shape>
            </w:pict>
          </mc:Fallback>
        </mc:AlternateContent>
      </w:r>
      <w:r w:rsidR="00427CF3" w:rsidRPr="001E35D3">
        <w:rPr>
          <w:rFonts w:ascii="Aptos" w:hAnsi="Aptos" w:cstheme="minorHAnsi"/>
          <w:b/>
          <w:noProof/>
          <w:lang w:eastAsia="en-GB"/>
        </w:rPr>
        <w:drawing>
          <wp:anchor distT="0" distB="0" distL="114300" distR="114300" simplePos="0" relativeHeight="251658240" behindDoc="1" locked="0" layoutInCell="1" allowOverlap="1" wp14:anchorId="7FAEC5DA" wp14:editId="752CCE4A">
            <wp:simplePos x="0" y="0"/>
            <wp:positionH relativeFrom="column">
              <wp:posOffset>-5715</wp:posOffset>
            </wp:positionH>
            <wp:positionV relativeFrom="paragraph">
              <wp:posOffset>209550</wp:posOffset>
            </wp:positionV>
            <wp:extent cx="1831975" cy="345440"/>
            <wp:effectExtent l="0" t="0" r="0" b="0"/>
            <wp:wrapTight wrapText="bothSides">
              <wp:wrapPolygon edited="0">
                <wp:start x="0" y="0"/>
                <wp:lineTo x="0" y="20250"/>
                <wp:lineTo x="21338" y="20250"/>
                <wp:lineTo x="21338" y="7147"/>
                <wp:lineTo x="1684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31975" cy="345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6602FF" w14:textId="7BDB2324" w:rsidR="00E219E4" w:rsidRPr="001E35D3" w:rsidRDefault="00E219E4" w:rsidP="006C1151">
      <w:pPr>
        <w:rPr>
          <w:rFonts w:ascii="Aptos" w:hAnsi="Aptos" w:cstheme="minorHAnsi"/>
          <w:b/>
        </w:rPr>
      </w:pPr>
    </w:p>
    <w:p w14:paraId="7D8DE42D" w14:textId="1FD81443" w:rsidR="00802FC1" w:rsidRPr="001E35D3" w:rsidRDefault="00802FC1" w:rsidP="006C1151">
      <w:pPr>
        <w:rPr>
          <w:rFonts w:ascii="Aptos" w:hAnsi="Aptos" w:cstheme="minorHAnsi"/>
          <w:b/>
        </w:rPr>
      </w:pPr>
    </w:p>
    <w:p w14:paraId="477786B6" w14:textId="1023967B" w:rsidR="00AE735D" w:rsidRPr="001E35D3" w:rsidRDefault="00AE735D" w:rsidP="00E219E4">
      <w:pPr>
        <w:rPr>
          <w:rFonts w:ascii="Aptos" w:hAnsi="Aptos" w:cstheme="minorHAnsi"/>
          <w:b/>
          <w:lang w:eastAsia="en-GB"/>
        </w:rPr>
      </w:pPr>
    </w:p>
    <w:p w14:paraId="4F77D167" w14:textId="7E3B3909" w:rsidR="00E219E4" w:rsidRPr="001E35D3" w:rsidRDefault="001E4224" w:rsidP="00E219E4">
      <w:pPr>
        <w:rPr>
          <w:rFonts w:ascii="Aptos" w:hAnsi="Aptos" w:cstheme="minorHAnsi"/>
          <w:b/>
          <w:lang w:eastAsia="en-GB"/>
        </w:rPr>
      </w:pPr>
      <w:r w:rsidRPr="001E35D3">
        <w:rPr>
          <w:rFonts w:ascii="Aptos" w:hAnsi="Aptos" w:cstheme="minorHAnsi"/>
          <w:b/>
          <w:lang w:eastAsia="en-GB"/>
        </w:rPr>
        <w:t>Our Ref: FK/NA/</w:t>
      </w:r>
      <w:r w:rsidR="003D548C" w:rsidRPr="001E35D3">
        <w:rPr>
          <w:rFonts w:ascii="Aptos" w:hAnsi="Aptos" w:cstheme="minorHAnsi"/>
          <w:b/>
          <w:lang w:eastAsia="en-GB"/>
        </w:rPr>
        <w:t>2</w:t>
      </w:r>
      <w:r w:rsidR="00F500F9">
        <w:rPr>
          <w:rFonts w:ascii="Aptos" w:hAnsi="Aptos" w:cstheme="minorHAnsi"/>
          <w:b/>
          <w:lang w:eastAsia="en-GB"/>
        </w:rPr>
        <w:t>5</w:t>
      </w:r>
      <w:r w:rsidR="001E35D3">
        <w:rPr>
          <w:rFonts w:ascii="Aptos" w:hAnsi="Aptos" w:cstheme="minorHAnsi"/>
          <w:b/>
          <w:lang w:eastAsia="en-GB"/>
        </w:rPr>
        <w:t>0525</w:t>
      </w:r>
    </w:p>
    <w:p w14:paraId="00628906" w14:textId="05E56372" w:rsidR="00A467CE" w:rsidRPr="001E35D3" w:rsidRDefault="001E35D3" w:rsidP="003A3E46">
      <w:pPr>
        <w:spacing w:after="0"/>
        <w:rPr>
          <w:rFonts w:ascii="Aptos" w:hAnsi="Aptos" w:cstheme="minorHAnsi"/>
        </w:rPr>
      </w:pPr>
      <w:r>
        <w:rPr>
          <w:rFonts w:ascii="Aptos" w:hAnsi="Aptos" w:cstheme="minorHAnsi"/>
        </w:rPr>
        <w:fldChar w:fldCharType="begin"/>
      </w:r>
      <w:r>
        <w:rPr>
          <w:rFonts w:ascii="Aptos" w:hAnsi="Aptos" w:cstheme="minorHAnsi"/>
        </w:rPr>
        <w:instrText xml:space="preserve"> DATE \@ "dd MMMM yyyy" </w:instrText>
      </w:r>
      <w:r>
        <w:rPr>
          <w:rFonts w:ascii="Aptos" w:hAnsi="Aptos" w:cstheme="minorHAnsi"/>
        </w:rPr>
        <w:fldChar w:fldCharType="separate"/>
      </w:r>
      <w:r w:rsidR="00086EF2">
        <w:rPr>
          <w:rFonts w:ascii="Aptos" w:hAnsi="Aptos" w:cstheme="minorHAnsi"/>
          <w:noProof/>
        </w:rPr>
        <w:t>26 May 2025</w:t>
      </w:r>
      <w:r>
        <w:rPr>
          <w:rFonts w:ascii="Aptos" w:hAnsi="Aptos" w:cstheme="minorHAnsi"/>
        </w:rPr>
        <w:fldChar w:fldCharType="end"/>
      </w:r>
    </w:p>
    <w:p w14:paraId="35F3545B" w14:textId="77777777" w:rsidR="00A467CE" w:rsidRPr="001E35D3" w:rsidRDefault="00A467CE" w:rsidP="003A3E46">
      <w:pPr>
        <w:spacing w:after="0"/>
        <w:rPr>
          <w:rFonts w:ascii="Aptos" w:hAnsi="Aptos" w:cstheme="minorHAnsi"/>
        </w:rPr>
      </w:pPr>
    </w:p>
    <w:p w14:paraId="71652A34" w14:textId="5F2F5596" w:rsidR="00E219E4" w:rsidRPr="001E35D3" w:rsidRDefault="00E219E4" w:rsidP="003A3E46">
      <w:pPr>
        <w:spacing w:after="0"/>
        <w:rPr>
          <w:rFonts w:ascii="Aptos" w:hAnsi="Aptos" w:cstheme="minorHAnsi"/>
        </w:rPr>
      </w:pPr>
      <w:r w:rsidRPr="001E35D3">
        <w:rPr>
          <w:rFonts w:ascii="Aptos" w:hAnsi="Aptos" w:cstheme="minorHAnsi"/>
        </w:rPr>
        <w:t xml:space="preserve">Clerk of the National Assembly </w:t>
      </w:r>
    </w:p>
    <w:p w14:paraId="511112B6" w14:textId="7BCCD1B0" w:rsidR="001E4224" w:rsidRPr="001E35D3" w:rsidRDefault="00EC2375" w:rsidP="003A3E46">
      <w:pPr>
        <w:spacing w:after="0"/>
        <w:rPr>
          <w:rFonts w:ascii="Aptos" w:hAnsi="Aptos" w:cstheme="minorHAnsi"/>
        </w:rPr>
      </w:pPr>
      <w:r w:rsidRPr="001E35D3">
        <w:rPr>
          <w:rFonts w:ascii="Aptos" w:hAnsi="Aptos" w:cstheme="minorHAnsi"/>
        </w:rPr>
        <w:t xml:space="preserve">Main </w:t>
      </w:r>
      <w:r w:rsidR="001E4224" w:rsidRPr="001E35D3">
        <w:rPr>
          <w:rFonts w:ascii="Aptos" w:hAnsi="Aptos" w:cstheme="minorHAnsi"/>
        </w:rPr>
        <w:t xml:space="preserve">Parliament Buildings </w:t>
      </w:r>
    </w:p>
    <w:p w14:paraId="1707B9D8" w14:textId="77777777" w:rsidR="001E4224" w:rsidRPr="001E35D3" w:rsidRDefault="001E4224" w:rsidP="003A3E46">
      <w:pPr>
        <w:spacing w:after="0"/>
        <w:rPr>
          <w:rFonts w:ascii="Aptos" w:hAnsi="Aptos" w:cstheme="minorHAnsi"/>
        </w:rPr>
      </w:pPr>
      <w:r w:rsidRPr="001E35D3">
        <w:rPr>
          <w:rFonts w:ascii="Aptos" w:hAnsi="Aptos" w:cstheme="minorHAnsi"/>
        </w:rPr>
        <w:t>Parliament Road</w:t>
      </w:r>
    </w:p>
    <w:p w14:paraId="1E715243" w14:textId="77777777" w:rsidR="00E219E4" w:rsidRPr="001E35D3" w:rsidRDefault="00E219E4" w:rsidP="003A3E46">
      <w:pPr>
        <w:spacing w:after="0"/>
        <w:rPr>
          <w:rFonts w:ascii="Aptos" w:hAnsi="Aptos" w:cstheme="minorHAnsi"/>
        </w:rPr>
      </w:pPr>
      <w:r w:rsidRPr="001E35D3">
        <w:rPr>
          <w:rFonts w:ascii="Aptos" w:hAnsi="Aptos" w:cstheme="minorHAnsi"/>
        </w:rPr>
        <w:t>P.O. Box 41842 – 00100</w:t>
      </w:r>
    </w:p>
    <w:p w14:paraId="7C6D900E" w14:textId="77777777" w:rsidR="00E219E4" w:rsidRPr="001E35D3" w:rsidRDefault="00E219E4" w:rsidP="003A3E46">
      <w:pPr>
        <w:spacing w:after="0"/>
        <w:rPr>
          <w:rFonts w:ascii="Aptos" w:hAnsi="Aptos" w:cstheme="minorHAnsi"/>
        </w:rPr>
      </w:pPr>
      <w:r w:rsidRPr="001E35D3">
        <w:rPr>
          <w:rFonts w:ascii="Aptos" w:hAnsi="Aptos" w:cstheme="minorHAnsi"/>
        </w:rPr>
        <w:t>Nairobi</w:t>
      </w:r>
    </w:p>
    <w:p w14:paraId="123C6060" w14:textId="77777777" w:rsidR="001E4224" w:rsidRPr="001E35D3" w:rsidRDefault="001E4224" w:rsidP="003A3E46">
      <w:pPr>
        <w:spacing w:after="0"/>
        <w:rPr>
          <w:rFonts w:ascii="Aptos" w:hAnsi="Aptos" w:cstheme="minorHAnsi"/>
          <w:b/>
        </w:rPr>
      </w:pPr>
    </w:p>
    <w:p w14:paraId="3149FCF2" w14:textId="7DDE33CC" w:rsidR="00E219E4" w:rsidRPr="001E35D3" w:rsidRDefault="001E4224" w:rsidP="00E219E4">
      <w:pPr>
        <w:rPr>
          <w:rFonts w:ascii="Aptos" w:hAnsi="Aptos" w:cstheme="minorHAnsi"/>
          <w:b/>
        </w:rPr>
      </w:pPr>
      <w:r w:rsidRPr="001E35D3">
        <w:rPr>
          <w:rFonts w:ascii="Aptos" w:hAnsi="Aptos" w:cstheme="minorHAnsi"/>
          <w:b/>
        </w:rPr>
        <w:t>By e</w:t>
      </w:r>
      <w:r w:rsidR="00E219E4" w:rsidRPr="001E35D3">
        <w:rPr>
          <w:rFonts w:ascii="Aptos" w:hAnsi="Aptos" w:cstheme="minorHAnsi"/>
          <w:b/>
        </w:rPr>
        <w:t xml:space="preserve">mail: </w:t>
      </w:r>
      <w:hyperlink r:id="rId12" w:history="1">
        <w:r w:rsidR="00605803" w:rsidRPr="001E35D3">
          <w:rPr>
            <w:rStyle w:val="Hyperlink"/>
            <w:rFonts w:ascii="Aptos" w:hAnsi="Aptos" w:cstheme="minorHAnsi"/>
            <w:b/>
          </w:rPr>
          <w:t>financecommitteena@parliament.go.ke</w:t>
        </w:r>
      </w:hyperlink>
      <w:r w:rsidR="007D3F90">
        <w:rPr>
          <w:rFonts w:ascii="Aptos" w:hAnsi="Aptos" w:cstheme="minorHAnsi"/>
          <w:b/>
        </w:rPr>
        <w:t xml:space="preserve">; </w:t>
      </w:r>
      <w:hyperlink r:id="rId13" w:history="1">
        <w:r w:rsidR="007D3F90" w:rsidRPr="007D3F90">
          <w:rPr>
            <w:rStyle w:val="Hyperlink"/>
            <w:rFonts w:ascii="Aptos" w:hAnsi="Aptos" w:cstheme="minorHAnsi"/>
            <w:b/>
          </w:rPr>
          <w:t>cna@parliament.go.ke</w:t>
        </w:r>
      </w:hyperlink>
    </w:p>
    <w:p w14:paraId="7E79A0FC" w14:textId="77777777" w:rsidR="00E219E4" w:rsidRPr="001E35D3" w:rsidRDefault="00E219E4" w:rsidP="003A3E46">
      <w:pPr>
        <w:spacing w:after="0"/>
        <w:rPr>
          <w:rFonts w:ascii="Aptos" w:hAnsi="Aptos" w:cstheme="minorHAnsi"/>
          <w:b/>
        </w:rPr>
      </w:pPr>
      <w:r w:rsidRPr="001E35D3">
        <w:rPr>
          <w:rFonts w:ascii="Aptos" w:hAnsi="Aptos" w:cstheme="minorHAnsi"/>
          <w:b/>
        </w:rPr>
        <w:t xml:space="preserve">Dear </w:t>
      </w:r>
      <w:r w:rsidR="001E4224" w:rsidRPr="001E35D3">
        <w:rPr>
          <w:rFonts w:ascii="Aptos" w:hAnsi="Aptos" w:cstheme="minorHAnsi"/>
          <w:b/>
        </w:rPr>
        <w:t>Sir</w:t>
      </w:r>
      <w:r w:rsidRPr="001E35D3">
        <w:rPr>
          <w:rFonts w:ascii="Aptos" w:hAnsi="Aptos" w:cstheme="minorHAnsi"/>
          <w:b/>
        </w:rPr>
        <w:t>,</w:t>
      </w:r>
    </w:p>
    <w:p w14:paraId="1B21D1EB" w14:textId="77777777" w:rsidR="001E4224" w:rsidRPr="001E35D3" w:rsidRDefault="001E4224" w:rsidP="003A3E46">
      <w:pPr>
        <w:spacing w:after="0"/>
        <w:rPr>
          <w:rFonts w:ascii="Aptos" w:hAnsi="Aptos" w:cstheme="minorHAnsi"/>
          <w:b/>
          <w:szCs w:val="40"/>
        </w:rPr>
      </w:pPr>
    </w:p>
    <w:p w14:paraId="7B7EED46" w14:textId="5BE28990" w:rsidR="001E4224" w:rsidRPr="001E35D3" w:rsidRDefault="001E4224" w:rsidP="003A3E46">
      <w:pPr>
        <w:spacing w:after="0"/>
        <w:rPr>
          <w:rFonts w:ascii="Aptos" w:hAnsi="Aptos" w:cstheme="minorHAnsi"/>
          <w:b/>
          <w:szCs w:val="40"/>
        </w:rPr>
      </w:pPr>
      <w:r w:rsidRPr="001E35D3">
        <w:rPr>
          <w:rFonts w:ascii="Aptos" w:hAnsi="Aptos" w:cstheme="minorHAnsi"/>
          <w:b/>
          <w:szCs w:val="40"/>
        </w:rPr>
        <w:t>Memorandum:</w:t>
      </w:r>
      <w:r w:rsidR="00810015" w:rsidRPr="001E35D3">
        <w:rPr>
          <w:rFonts w:ascii="Aptos" w:hAnsi="Aptos" w:cstheme="minorHAnsi"/>
          <w:b/>
          <w:szCs w:val="40"/>
        </w:rPr>
        <w:t xml:space="preserve"> I</w:t>
      </w:r>
      <w:r w:rsidRPr="001E35D3">
        <w:rPr>
          <w:rFonts w:ascii="Aptos" w:hAnsi="Aptos" w:cstheme="minorHAnsi"/>
          <w:b/>
          <w:szCs w:val="40"/>
        </w:rPr>
        <w:t xml:space="preserve">n the matter of consideration by the National Assembly on </w:t>
      </w:r>
      <w:r w:rsidR="0083718B" w:rsidRPr="001E35D3">
        <w:rPr>
          <w:rFonts w:ascii="Aptos" w:hAnsi="Aptos" w:cstheme="minorHAnsi"/>
          <w:b/>
          <w:szCs w:val="40"/>
        </w:rPr>
        <w:t xml:space="preserve">the </w:t>
      </w:r>
      <w:r w:rsidR="001D2832">
        <w:rPr>
          <w:rFonts w:ascii="Aptos" w:hAnsi="Aptos" w:cstheme="minorHAnsi"/>
          <w:b/>
          <w:szCs w:val="40"/>
        </w:rPr>
        <w:t>Finance Bill, 2025</w:t>
      </w:r>
      <w:r w:rsidR="004B2559" w:rsidRPr="001E35D3">
        <w:rPr>
          <w:rFonts w:ascii="Aptos" w:hAnsi="Aptos" w:cstheme="minorHAnsi"/>
          <w:b/>
          <w:szCs w:val="40"/>
        </w:rPr>
        <w:t xml:space="preserve"> (National Assembly Bill No. </w:t>
      </w:r>
      <w:r w:rsidR="001D2832">
        <w:rPr>
          <w:rFonts w:ascii="Aptos" w:hAnsi="Aptos" w:cstheme="minorHAnsi"/>
          <w:b/>
          <w:szCs w:val="40"/>
        </w:rPr>
        <w:t>19</w:t>
      </w:r>
      <w:r w:rsidR="004B2559" w:rsidRPr="001E35D3">
        <w:rPr>
          <w:rFonts w:ascii="Aptos" w:hAnsi="Aptos" w:cstheme="minorHAnsi"/>
          <w:b/>
          <w:szCs w:val="40"/>
        </w:rPr>
        <w:t xml:space="preserve"> of 202</w:t>
      </w:r>
      <w:r w:rsidR="001D2832">
        <w:rPr>
          <w:rFonts w:ascii="Aptos" w:hAnsi="Aptos" w:cstheme="minorHAnsi"/>
          <w:b/>
          <w:szCs w:val="40"/>
        </w:rPr>
        <w:t>5</w:t>
      </w:r>
      <w:r w:rsidR="004B2559" w:rsidRPr="001E35D3">
        <w:rPr>
          <w:rFonts w:ascii="Aptos" w:hAnsi="Aptos" w:cstheme="minorHAnsi"/>
          <w:b/>
          <w:szCs w:val="40"/>
        </w:rPr>
        <w:t>)</w:t>
      </w:r>
    </w:p>
    <w:p w14:paraId="4F618C84" w14:textId="77777777" w:rsidR="00E219E4" w:rsidRPr="001E35D3" w:rsidRDefault="00E219E4" w:rsidP="00E219E4">
      <w:pPr>
        <w:spacing w:after="0"/>
        <w:rPr>
          <w:rFonts w:ascii="Aptos" w:hAnsi="Aptos" w:cstheme="minorHAnsi"/>
          <w:b/>
        </w:rPr>
      </w:pPr>
    </w:p>
    <w:p w14:paraId="0801593F" w14:textId="0E7EC73E" w:rsidR="008F1112" w:rsidRPr="008F1112" w:rsidRDefault="00E219E4" w:rsidP="008F1112">
      <w:pPr>
        <w:rPr>
          <w:rFonts w:ascii="Aptos" w:hAnsi="Aptos" w:cstheme="minorHAnsi"/>
        </w:rPr>
      </w:pPr>
      <w:r w:rsidRPr="001E35D3">
        <w:rPr>
          <w:rFonts w:ascii="Aptos" w:hAnsi="Aptos" w:cstheme="minorHAnsi"/>
        </w:rPr>
        <w:t xml:space="preserve">We refer to </w:t>
      </w:r>
      <w:r w:rsidR="001E4224" w:rsidRPr="001E35D3">
        <w:rPr>
          <w:rFonts w:ascii="Aptos" w:hAnsi="Aptos" w:cstheme="minorHAnsi"/>
        </w:rPr>
        <w:t>the above subject matter</w:t>
      </w:r>
      <w:r w:rsidR="002417BE" w:rsidRPr="001E35D3">
        <w:rPr>
          <w:rFonts w:ascii="Aptos" w:hAnsi="Aptos" w:cstheme="minorHAnsi"/>
        </w:rPr>
        <w:t xml:space="preserve"> </w:t>
      </w:r>
      <w:r w:rsidR="008F1112" w:rsidRPr="008F1112">
        <w:rPr>
          <w:rFonts w:ascii="Aptos" w:hAnsi="Aptos" w:cstheme="minorHAnsi"/>
        </w:rPr>
        <w:t>where you invited interested members of the public and stakeholders to submit any representations that they may have on the Finance Bill, 2025 (National Assembly Bill No. 19 of 2025) (“</w:t>
      </w:r>
      <w:r w:rsidR="008F1112" w:rsidRPr="008F1112">
        <w:rPr>
          <w:rFonts w:ascii="Aptos" w:hAnsi="Aptos" w:cstheme="minorHAnsi"/>
          <w:b/>
          <w:bCs/>
        </w:rPr>
        <w:t>the Bill</w:t>
      </w:r>
      <w:r w:rsidR="008F1112" w:rsidRPr="008F1112">
        <w:rPr>
          <w:rFonts w:ascii="Aptos" w:hAnsi="Aptos" w:cstheme="minorHAnsi"/>
        </w:rPr>
        <w:t>”).</w:t>
      </w:r>
    </w:p>
    <w:p w14:paraId="6C5887FB" w14:textId="184472CD" w:rsidR="001E4224" w:rsidRPr="001E35D3" w:rsidRDefault="00CF5FCB" w:rsidP="00E219E4">
      <w:pPr>
        <w:rPr>
          <w:rFonts w:ascii="Aptos" w:hAnsi="Aptos" w:cstheme="minorHAnsi"/>
        </w:rPr>
      </w:pPr>
      <w:r w:rsidRPr="001E35D3">
        <w:rPr>
          <w:rFonts w:ascii="Aptos" w:hAnsi="Aptos" w:cstheme="minorHAnsi"/>
        </w:rPr>
        <w:t xml:space="preserve">These representations have been made </w:t>
      </w:r>
      <w:r w:rsidR="00FB64A3" w:rsidRPr="001E35D3">
        <w:rPr>
          <w:rFonts w:ascii="Aptos" w:hAnsi="Aptos" w:cstheme="minorHAnsi"/>
        </w:rPr>
        <w:t xml:space="preserve">pursuant to Article 118 (1) (b) of the Constitution and the National Assembly Standing </w:t>
      </w:r>
      <w:r w:rsidR="00276B6C" w:rsidRPr="001E35D3">
        <w:rPr>
          <w:rFonts w:ascii="Aptos" w:hAnsi="Aptos" w:cstheme="minorHAnsi"/>
        </w:rPr>
        <w:t>O</w:t>
      </w:r>
      <w:r w:rsidR="00FB64A3" w:rsidRPr="001E35D3">
        <w:rPr>
          <w:rFonts w:ascii="Aptos" w:hAnsi="Aptos" w:cstheme="minorHAnsi"/>
        </w:rPr>
        <w:t xml:space="preserve">rder 127 (3). </w:t>
      </w:r>
    </w:p>
    <w:p w14:paraId="1B6594D5" w14:textId="77777777" w:rsidR="00E219E4" w:rsidRPr="001E35D3" w:rsidRDefault="009B434D" w:rsidP="003A3E46">
      <w:pPr>
        <w:rPr>
          <w:rFonts w:ascii="Aptos" w:hAnsi="Aptos" w:cstheme="minorHAnsi"/>
        </w:rPr>
      </w:pPr>
      <w:r w:rsidRPr="001E35D3">
        <w:rPr>
          <w:rFonts w:ascii="Aptos" w:hAnsi="Aptos" w:cstheme="minorHAnsi"/>
        </w:rPr>
        <w:t xml:space="preserve">We </w:t>
      </w:r>
      <w:r w:rsidR="005F1FA7" w:rsidRPr="001E35D3">
        <w:rPr>
          <w:rFonts w:ascii="Aptos" w:hAnsi="Aptos" w:cstheme="minorHAnsi"/>
        </w:rPr>
        <w:t xml:space="preserve">hereby enclose our detailed submissions as an Appendix to this letter. </w:t>
      </w:r>
    </w:p>
    <w:p w14:paraId="230B718B" w14:textId="67D5087C" w:rsidR="00E219E4" w:rsidRPr="001E35D3" w:rsidRDefault="00810015" w:rsidP="00E219E4">
      <w:pPr>
        <w:rPr>
          <w:rFonts w:ascii="Aptos" w:hAnsi="Aptos" w:cstheme="minorHAnsi"/>
        </w:rPr>
      </w:pPr>
      <w:r w:rsidRPr="001E35D3">
        <w:rPr>
          <w:rFonts w:ascii="Aptos" w:hAnsi="Aptos" w:cstheme="minorHAnsi"/>
        </w:rPr>
        <w:t xml:space="preserve">Please feel free to reach out to the undersigned on </w:t>
      </w:r>
      <w:hyperlink r:id="rId14" w:history="1">
        <w:r w:rsidRPr="001E35D3">
          <w:rPr>
            <w:rStyle w:val="Hyperlink"/>
            <w:rFonts w:ascii="Aptos" w:hAnsi="Aptos" w:cstheme="minorHAnsi"/>
          </w:rPr>
          <w:t>fomondi@deloitte.co.ke</w:t>
        </w:r>
      </w:hyperlink>
      <w:r w:rsidRPr="001E35D3">
        <w:rPr>
          <w:rFonts w:ascii="Aptos" w:hAnsi="Aptos" w:cstheme="minorHAnsi"/>
        </w:rPr>
        <w:t xml:space="preserve"> or </w:t>
      </w:r>
      <w:r w:rsidR="00F13033" w:rsidRPr="001E35D3">
        <w:rPr>
          <w:rFonts w:ascii="Aptos" w:hAnsi="Aptos" w:cstheme="minorHAnsi"/>
        </w:rPr>
        <w:t>Fredrick Kimotho</w:t>
      </w:r>
      <w:r w:rsidRPr="001E35D3">
        <w:rPr>
          <w:rFonts w:ascii="Aptos" w:hAnsi="Aptos" w:cstheme="minorHAnsi"/>
        </w:rPr>
        <w:t xml:space="preserve"> on </w:t>
      </w:r>
      <w:hyperlink r:id="rId15" w:history="1">
        <w:r w:rsidR="00F13033" w:rsidRPr="001E35D3">
          <w:rPr>
            <w:rStyle w:val="Hyperlink"/>
            <w:rFonts w:ascii="Aptos" w:hAnsi="Aptos" w:cstheme="minorHAnsi"/>
          </w:rPr>
          <w:t>fkimotho@deloitte.co.ke</w:t>
        </w:r>
      </w:hyperlink>
      <w:r w:rsidR="00613747" w:rsidRPr="001E35D3">
        <w:rPr>
          <w:rFonts w:ascii="Aptos" w:hAnsi="Aptos" w:cstheme="minorHAnsi"/>
        </w:rPr>
        <w:t xml:space="preserve"> or Patrick Chege on </w:t>
      </w:r>
      <w:hyperlink r:id="rId16" w:history="1">
        <w:r w:rsidR="00613747" w:rsidRPr="001E35D3">
          <w:rPr>
            <w:rStyle w:val="Hyperlink"/>
            <w:rFonts w:ascii="Aptos" w:hAnsi="Aptos" w:cstheme="minorHAnsi"/>
          </w:rPr>
          <w:t>pchege@deloitte.co.ke</w:t>
        </w:r>
      </w:hyperlink>
      <w:r w:rsidR="00613747" w:rsidRPr="001E35D3">
        <w:rPr>
          <w:rFonts w:ascii="Aptos" w:hAnsi="Aptos" w:cstheme="minorHAnsi"/>
        </w:rPr>
        <w:t xml:space="preserve"> </w:t>
      </w:r>
      <w:r w:rsidR="00E219E4" w:rsidRPr="001E35D3">
        <w:rPr>
          <w:rFonts w:ascii="Aptos" w:eastAsia="Times" w:hAnsi="Aptos" w:cstheme="minorHAnsi"/>
          <w:color w:val="000000" w:themeColor="text1"/>
          <w:lang w:eastAsia="ja-JP"/>
        </w:rPr>
        <w:t xml:space="preserve">should you require additional information or clarification </w:t>
      </w:r>
      <w:r w:rsidR="007850BD" w:rsidRPr="001E35D3">
        <w:rPr>
          <w:rFonts w:ascii="Aptos" w:eastAsia="Times" w:hAnsi="Aptos" w:cstheme="minorHAnsi"/>
          <w:color w:val="000000" w:themeColor="text1"/>
          <w:lang w:eastAsia="ja-JP"/>
        </w:rPr>
        <w:t>regarding</w:t>
      </w:r>
      <w:r w:rsidRPr="001E35D3">
        <w:rPr>
          <w:rFonts w:ascii="Aptos" w:eastAsia="Times" w:hAnsi="Aptos" w:cstheme="minorHAnsi"/>
          <w:color w:val="000000" w:themeColor="text1"/>
          <w:lang w:eastAsia="ja-JP"/>
        </w:rPr>
        <w:t xml:space="preserve"> our submissions. </w:t>
      </w:r>
    </w:p>
    <w:p w14:paraId="090FA3E3" w14:textId="5F55E979" w:rsidR="00E219E4" w:rsidRPr="001E35D3" w:rsidRDefault="00E219E4" w:rsidP="00E219E4">
      <w:pPr>
        <w:spacing w:line="240" w:lineRule="exact"/>
        <w:rPr>
          <w:rFonts w:ascii="Aptos" w:hAnsi="Aptos" w:cstheme="minorHAnsi"/>
          <w:color w:val="000000" w:themeColor="text1"/>
        </w:rPr>
      </w:pPr>
      <w:r w:rsidRPr="001E35D3">
        <w:rPr>
          <w:rFonts w:ascii="Aptos" w:hAnsi="Aptos" w:cstheme="minorHAnsi"/>
          <w:color w:val="000000" w:themeColor="text1"/>
        </w:rPr>
        <w:t>Yours faithfully,</w:t>
      </w:r>
    </w:p>
    <w:p w14:paraId="380EEC65" w14:textId="5E8F49BD" w:rsidR="00E219E4" w:rsidRPr="001E35D3" w:rsidRDefault="008F3120" w:rsidP="00E219E4">
      <w:pPr>
        <w:spacing w:after="240" w:line="280" w:lineRule="exact"/>
        <w:contextualSpacing/>
        <w:rPr>
          <w:rFonts w:ascii="Aptos" w:hAnsi="Aptos" w:cstheme="minorHAnsi"/>
        </w:rPr>
      </w:pPr>
      <w:r w:rsidRPr="008F3120">
        <w:rPr>
          <w:rFonts w:ascii="Aptos" w:hAnsi="Aptos" w:cstheme="minorHAnsi"/>
          <w:b/>
          <w:noProof/>
        </w:rPr>
        <w:drawing>
          <wp:anchor distT="0" distB="0" distL="114300" distR="114300" simplePos="0" relativeHeight="251659265" behindDoc="0" locked="0" layoutInCell="1" allowOverlap="1" wp14:anchorId="30F8D89C" wp14:editId="3A0CCBE0">
            <wp:simplePos x="0" y="0"/>
            <wp:positionH relativeFrom="margin">
              <wp:align>left</wp:align>
            </wp:positionH>
            <wp:positionV relativeFrom="paragraph">
              <wp:posOffset>267033</wp:posOffset>
            </wp:positionV>
            <wp:extent cx="685835" cy="387370"/>
            <wp:effectExtent l="0" t="0" r="0" b="0"/>
            <wp:wrapTopAndBottom/>
            <wp:docPr id="15284697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469787" name=""/>
                    <pic:cNvPicPr/>
                  </pic:nvPicPr>
                  <pic:blipFill>
                    <a:blip r:embed="rId17">
                      <a:extLst>
                        <a:ext uri="{28A0092B-C50C-407E-A947-70E740481C1C}">
                          <a14:useLocalDpi xmlns:a14="http://schemas.microsoft.com/office/drawing/2010/main" val="0"/>
                        </a:ext>
                      </a:extLst>
                    </a:blip>
                    <a:stretch>
                      <a:fillRect/>
                    </a:stretch>
                  </pic:blipFill>
                  <pic:spPr>
                    <a:xfrm>
                      <a:off x="0" y="0"/>
                      <a:ext cx="685835" cy="387370"/>
                    </a:xfrm>
                    <a:prstGeom prst="rect">
                      <a:avLst/>
                    </a:prstGeom>
                  </pic:spPr>
                </pic:pic>
              </a:graphicData>
            </a:graphic>
            <wp14:sizeRelH relativeFrom="page">
              <wp14:pctWidth>0</wp14:pctWidth>
            </wp14:sizeRelH>
            <wp14:sizeRelV relativeFrom="page">
              <wp14:pctHeight>0</wp14:pctHeight>
            </wp14:sizeRelV>
          </wp:anchor>
        </w:drawing>
      </w:r>
      <w:r w:rsidR="00E219E4" w:rsidRPr="001E35D3">
        <w:rPr>
          <w:rFonts w:ascii="Aptos" w:hAnsi="Aptos" w:cstheme="minorHAnsi"/>
          <w:b/>
          <w:color w:val="000000" w:themeColor="text1"/>
        </w:rPr>
        <w:t xml:space="preserve">For: </w:t>
      </w:r>
      <w:r w:rsidR="00E219E4" w:rsidRPr="001E35D3">
        <w:rPr>
          <w:rFonts w:ascii="Aptos" w:hAnsi="Aptos" w:cstheme="minorHAnsi"/>
          <w:b/>
        </w:rPr>
        <w:t>Deloitte &amp; Touche</w:t>
      </w:r>
      <w:r w:rsidR="00567538" w:rsidRPr="001E35D3">
        <w:rPr>
          <w:rFonts w:ascii="Aptos" w:hAnsi="Aptos" w:cstheme="minorHAnsi"/>
          <w:b/>
        </w:rPr>
        <w:t xml:space="preserve"> LLP</w:t>
      </w:r>
    </w:p>
    <w:p w14:paraId="73EBBDE7" w14:textId="5CAA8747" w:rsidR="00E219E4" w:rsidRPr="001E35D3" w:rsidRDefault="00E219E4" w:rsidP="00E219E4">
      <w:pPr>
        <w:spacing w:after="240" w:line="280" w:lineRule="exact"/>
        <w:contextualSpacing/>
        <w:rPr>
          <w:rFonts w:ascii="Aptos" w:hAnsi="Aptos" w:cstheme="minorHAnsi"/>
          <w:b/>
        </w:rPr>
      </w:pPr>
      <w:r w:rsidRPr="001E35D3">
        <w:rPr>
          <w:rFonts w:ascii="Aptos" w:hAnsi="Aptos" w:cstheme="minorHAnsi"/>
          <w:b/>
        </w:rPr>
        <w:t>Fred Omondi</w:t>
      </w:r>
      <w:r w:rsidRPr="001E35D3">
        <w:rPr>
          <w:rFonts w:ascii="Aptos" w:hAnsi="Aptos" w:cstheme="minorHAnsi"/>
          <w:b/>
        </w:rPr>
        <w:tab/>
      </w:r>
      <w:r w:rsidRPr="001E35D3">
        <w:rPr>
          <w:rFonts w:ascii="Aptos" w:hAnsi="Aptos" w:cstheme="minorHAnsi"/>
          <w:b/>
        </w:rPr>
        <w:tab/>
      </w:r>
      <w:r w:rsidRPr="001E35D3">
        <w:rPr>
          <w:rFonts w:ascii="Aptos" w:hAnsi="Aptos" w:cstheme="minorHAnsi"/>
          <w:b/>
        </w:rPr>
        <w:tab/>
      </w:r>
      <w:r w:rsidRPr="001E35D3">
        <w:rPr>
          <w:rFonts w:ascii="Aptos" w:hAnsi="Aptos" w:cstheme="minorHAnsi"/>
          <w:b/>
        </w:rPr>
        <w:tab/>
      </w:r>
      <w:r w:rsidRPr="001E35D3">
        <w:rPr>
          <w:rFonts w:ascii="Aptos" w:hAnsi="Aptos" w:cstheme="minorHAnsi"/>
          <w:b/>
        </w:rPr>
        <w:tab/>
      </w:r>
      <w:r w:rsidRPr="001E35D3">
        <w:rPr>
          <w:rFonts w:ascii="Aptos" w:hAnsi="Aptos" w:cstheme="minorHAnsi"/>
          <w:b/>
        </w:rPr>
        <w:tab/>
      </w:r>
      <w:r w:rsidRPr="001E35D3">
        <w:rPr>
          <w:rFonts w:ascii="Aptos" w:hAnsi="Aptos" w:cstheme="minorHAnsi"/>
          <w:b/>
        </w:rPr>
        <w:tab/>
      </w:r>
    </w:p>
    <w:p w14:paraId="2A0565B6" w14:textId="07633498" w:rsidR="00225563" w:rsidRPr="001E35D3" w:rsidRDefault="001E4224" w:rsidP="00E219E4">
      <w:pPr>
        <w:spacing w:after="240" w:line="280" w:lineRule="exact"/>
        <w:contextualSpacing/>
        <w:rPr>
          <w:rFonts w:ascii="Aptos" w:hAnsi="Aptos" w:cstheme="minorHAnsi"/>
          <w:b/>
        </w:rPr>
      </w:pPr>
      <w:r w:rsidRPr="001E35D3">
        <w:rPr>
          <w:rFonts w:ascii="Aptos" w:hAnsi="Aptos" w:cstheme="minorHAnsi"/>
          <w:b/>
        </w:rPr>
        <w:t>Partner, Tax &amp; Legal Lead</w:t>
      </w:r>
      <w:r w:rsidR="00567538" w:rsidRPr="001E35D3">
        <w:rPr>
          <w:rFonts w:ascii="Aptos" w:hAnsi="Aptos" w:cstheme="minorHAnsi"/>
          <w:b/>
        </w:rPr>
        <w:t>er</w:t>
      </w:r>
    </w:p>
    <w:p w14:paraId="20AD736D" w14:textId="77777777" w:rsidR="00451E58" w:rsidRPr="001E35D3" w:rsidRDefault="00451E58" w:rsidP="0099679E">
      <w:pPr>
        <w:spacing w:after="240" w:line="280" w:lineRule="exact"/>
        <w:contextualSpacing/>
        <w:rPr>
          <w:rFonts w:ascii="Aptos" w:hAnsi="Aptos" w:cstheme="minorHAnsi"/>
          <w:b/>
          <w:color w:val="000000" w:themeColor="text1"/>
        </w:rPr>
        <w:sectPr w:rsidR="00451E58" w:rsidRPr="001E35D3" w:rsidSect="00933FEE">
          <w:headerReference w:type="default" r:id="rId18"/>
          <w:footerReference w:type="default" r:id="rId19"/>
          <w:headerReference w:type="first" r:id="rId20"/>
          <w:footerReference w:type="first" r:id="rId21"/>
          <w:type w:val="continuous"/>
          <w:pgSz w:w="11906" w:h="16838" w:code="9"/>
          <w:pgMar w:top="709" w:right="1440" w:bottom="1440" w:left="851" w:header="709" w:footer="380" w:gutter="0"/>
          <w:pgBorders w:offsetFrom="page">
            <w:top w:val="single" w:sz="4" w:space="24" w:color="92D050"/>
            <w:left w:val="single" w:sz="4" w:space="24" w:color="92D050"/>
            <w:bottom w:val="single" w:sz="4" w:space="24" w:color="92D050"/>
            <w:right w:val="single" w:sz="4" w:space="24" w:color="92D050"/>
          </w:pgBorders>
          <w:cols w:space="708"/>
          <w:titlePg/>
          <w:docGrid w:linePitch="360"/>
        </w:sectPr>
      </w:pPr>
    </w:p>
    <w:tbl>
      <w:tblPr>
        <w:tblStyle w:val="TableGrid"/>
        <w:tblW w:w="14454" w:type="dxa"/>
        <w:tblLook w:val="04A0" w:firstRow="1" w:lastRow="0" w:firstColumn="1" w:lastColumn="0" w:noHBand="0" w:noVBand="1"/>
      </w:tblPr>
      <w:tblGrid>
        <w:gridCol w:w="535"/>
        <w:gridCol w:w="1949"/>
        <w:gridCol w:w="7636"/>
        <w:gridCol w:w="4334"/>
      </w:tblGrid>
      <w:tr w:rsidR="006D0A2F" w:rsidRPr="0051157C" w14:paraId="1BE276DC" w14:textId="77777777" w:rsidTr="009A3429">
        <w:trPr>
          <w:tblHeader/>
        </w:trPr>
        <w:tc>
          <w:tcPr>
            <w:tcW w:w="535" w:type="dxa"/>
            <w:shd w:val="clear" w:color="auto" w:fill="92D050"/>
          </w:tcPr>
          <w:p w14:paraId="4458A67A" w14:textId="16DB546F" w:rsidR="006D0A2F" w:rsidRPr="0051157C" w:rsidRDefault="006D0A2F" w:rsidP="00846EFA">
            <w:pPr>
              <w:rPr>
                <w:rFonts w:ascii="Aptos" w:hAnsi="Aptos" w:cstheme="minorHAnsi"/>
                <w:b/>
                <w:bCs/>
                <w:color w:val="FFFFFF" w:themeColor="background1"/>
              </w:rPr>
            </w:pPr>
            <w:r w:rsidRPr="0051157C">
              <w:rPr>
                <w:rFonts w:ascii="Aptos" w:hAnsi="Aptos" w:cstheme="minorHAnsi"/>
                <w:b/>
                <w:bCs/>
                <w:color w:val="FFFFFF" w:themeColor="background1"/>
              </w:rPr>
              <w:lastRenderedPageBreak/>
              <w:t>No</w:t>
            </w:r>
          </w:p>
        </w:tc>
        <w:tc>
          <w:tcPr>
            <w:tcW w:w="1949" w:type="dxa"/>
            <w:shd w:val="clear" w:color="auto" w:fill="92D050"/>
          </w:tcPr>
          <w:p w14:paraId="17F762E6" w14:textId="2BB6EE36" w:rsidR="006D0A2F" w:rsidRPr="0051157C" w:rsidRDefault="006D0A2F" w:rsidP="00D23C0C">
            <w:pPr>
              <w:rPr>
                <w:rFonts w:ascii="Aptos" w:hAnsi="Aptos" w:cstheme="minorHAnsi"/>
                <w:b/>
                <w:bCs/>
                <w:color w:val="FFFFFF" w:themeColor="background1"/>
              </w:rPr>
            </w:pPr>
            <w:r w:rsidRPr="0051157C">
              <w:rPr>
                <w:rFonts w:ascii="Aptos" w:hAnsi="Aptos" w:cstheme="minorHAnsi"/>
                <w:b/>
                <w:bCs/>
                <w:color w:val="FFFFFF" w:themeColor="background1"/>
              </w:rPr>
              <w:t>Clause/Page of the Bill</w:t>
            </w:r>
          </w:p>
        </w:tc>
        <w:tc>
          <w:tcPr>
            <w:tcW w:w="7636" w:type="dxa"/>
            <w:shd w:val="clear" w:color="auto" w:fill="92D050"/>
          </w:tcPr>
          <w:p w14:paraId="0899DD76" w14:textId="0BE4EFC0" w:rsidR="006D0A2F" w:rsidRPr="0051157C" w:rsidRDefault="006D0A2F" w:rsidP="00846EFA">
            <w:pPr>
              <w:rPr>
                <w:rFonts w:ascii="Aptos" w:hAnsi="Aptos" w:cstheme="minorHAnsi"/>
                <w:b/>
                <w:bCs/>
                <w:color w:val="FFFFFF" w:themeColor="background1"/>
              </w:rPr>
            </w:pPr>
            <w:r w:rsidRPr="0051157C">
              <w:rPr>
                <w:rFonts w:ascii="Aptos" w:hAnsi="Aptos" w:cstheme="minorHAnsi"/>
                <w:b/>
                <w:bCs/>
                <w:color w:val="FFFFFF" w:themeColor="background1"/>
              </w:rPr>
              <w:t>Proposal</w:t>
            </w:r>
          </w:p>
        </w:tc>
        <w:tc>
          <w:tcPr>
            <w:tcW w:w="4334" w:type="dxa"/>
            <w:shd w:val="clear" w:color="auto" w:fill="92D050"/>
          </w:tcPr>
          <w:p w14:paraId="33AA0083" w14:textId="2C0007F1" w:rsidR="006D0A2F" w:rsidRPr="0051157C" w:rsidRDefault="006D0A2F" w:rsidP="00846EFA">
            <w:pPr>
              <w:rPr>
                <w:rFonts w:ascii="Aptos" w:hAnsi="Aptos" w:cstheme="minorHAnsi"/>
                <w:b/>
                <w:bCs/>
                <w:color w:val="FFFFFF" w:themeColor="background1"/>
              </w:rPr>
            </w:pPr>
            <w:r w:rsidRPr="0051157C">
              <w:rPr>
                <w:rFonts w:ascii="Aptos" w:hAnsi="Aptos" w:cstheme="minorHAnsi"/>
                <w:b/>
                <w:bCs/>
                <w:color w:val="FFFFFF" w:themeColor="background1"/>
              </w:rPr>
              <w:t>Justification</w:t>
            </w:r>
          </w:p>
        </w:tc>
      </w:tr>
      <w:tr w:rsidR="5A6D3F59" w:rsidRPr="0051157C" w14:paraId="00862465" w14:textId="77777777" w:rsidTr="001E35D3">
        <w:trPr>
          <w:trHeight w:val="300"/>
        </w:trPr>
        <w:tc>
          <w:tcPr>
            <w:tcW w:w="14454" w:type="dxa"/>
            <w:gridSpan w:val="4"/>
          </w:tcPr>
          <w:p w14:paraId="2149FC78" w14:textId="115014BD" w:rsidR="5A6D3F59" w:rsidRPr="0051157C" w:rsidRDefault="00C96605" w:rsidP="00E9775B">
            <w:pPr>
              <w:pStyle w:val="ListParagraph"/>
              <w:numPr>
                <w:ilvl w:val="0"/>
                <w:numId w:val="2"/>
              </w:numPr>
              <w:jc w:val="center"/>
              <w:rPr>
                <w:rFonts w:ascii="Aptos" w:hAnsi="Aptos" w:cstheme="minorHAnsi"/>
                <w:b/>
                <w:bCs/>
                <w:color w:val="000000" w:themeColor="text1"/>
              </w:rPr>
            </w:pPr>
            <w:r w:rsidRPr="0051157C">
              <w:rPr>
                <w:rFonts w:ascii="Aptos" w:hAnsi="Aptos" w:cstheme="minorHAnsi"/>
                <w:b/>
                <w:bCs/>
                <w:color w:val="000000" w:themeColor="text1"/>
              </w:rPr>
              <w:t>Income Tax- Corporate</w:t>
            </w:r>
          </w:p>
        </w:tc>
      </w:tr>
      <w:tr w:rsidR="007A1C3A" w:rsidRPr="0051157C" w14:paraId="53CB2353" w14:textId="77777777" w:rsidTr="009A3429">
        <w:tc>
          <w:tcPr>
            <w:tcW w:w="535" w:type="dxa"/>
          </w:tcPr>
          <w:p w14:paraId="17905F9B" w14:textId="541108B0" w:rsidR="007A1C3A" w:rsidRPr="0051157C" w:rsidRDefault="007A1C3A" w:rsidP="007A1C3A">
            <w:pPr>
              <w:jc w:val="both"/>
              <w:rPr>
                <w:rFonts w:ascii="Aptos" w:hAnsi="Aptos" w:cstheme="minorHAnsi"/>
                <w:b/>
              </w:rPr>
            </w:pPr>
            <w:r w:rsidRPr="0051157C">
              <w:rPr>
                <w:rFonts w:ascii="Aptos" w:hAnsi="Aptos" w:cstheme="minorHAnsi"/>
                <w:b/>
              </w:rPr>
              <w:t>1.</w:t>
            </w:r>
          </w:p>
        </w:tc>
        <w:tc>
          <w:tcPr>
            <w:tcW w:w="1949" w:type="dxa"/>
          </w:tcPr>
          <w:p w14:paraId="07EDDB1B" w14:textId="407709D1" w:rsidR="007A1C3A" w:rsidRPr="0051157C" w:rsidRDefault="007A1C3A" w:rsidP="007A1C3A">
            <w:pPr>
              <w:rPr>
                <w:rFonts w:ascii="Aptos" w:eastAsiaTheme="minorEastAsia" w:hAnsi="Aptos" w:cstheme="minorHAnsi"/>
                <w:b/>
                <w:bCs/>
              </w:rPr>
            </w:pPr>
            <w:r w:rsidRPr="0051157C">
              <w:rPr>
                <w:rFonts w:ascii="Aptos" w:eastAsiaTheme="minorEastAsia" w:hAnsi="Aptos" w:cstheme="minorHAnsi"/>
                <w:b/>
                <w:bCs/>
              </w:rPr>
              <w:t>Clause 8 (c) and (d)</w:t>
            </w:r>
          </w:p>
          <w:p w14:paraId="4AFB496A" w14:textId="77777777" w:rsidR="007A1C3A" w:rsidRPr="0051157C" w:rsidRDefault="007A1C3A" w:rsidP="007A1C3A">
            <w:pPr>
              <w:rPr>
                <w:rFonts w:ascii="Aptos" w:eastAsiaTheme="minorEastAsia" w:hAnsi="Aptos" w:cstheme="minorHAnsi"/>
                <w:b/>
                <w:bCs/>
              </w:rPr>
            </w:pPr>
          </w:p>
          <w:p w14:paraId="18B080F9" w14:textId="5E3F60F2" w:rsidR="007A1C3A" w:rsidRPr="0051157C" w:rsidRDefault="007A1C3A" w:rsidP="007A1C3A">
            <w:pPr>
              <w:rPr>
                <w:rFonts w:ascii="Aptos" w:eastAsiaTheme="minorEastAsia" w:hAnsi="Aptos" w:cstheme="minorHAnsi"/>
                <w:b/>
                <w:bCs/>
              </w:rPr>
            </w:pPr>
            <w:r w:rsidRPr="0051157C">
              <w:rPr>
                <w:rFonts w:ascii="Aptos" w:hAnsi="Aptos"/>
                <w:b/>
                <w:bCs/>
              </w:rPr>
              <w:t>Limitation of period to carry forward tax losses</w:t>
            </w:r>
          </w:p>
        </w:tc>
        <w:tc>
          <w:tcPr>
            <w:tcW w:w="7636" w:type="dxa"/>
          </w:tcPr>
          <w:p w14:paraId="71C7C5A1" w14:textId="6E145EA2" w:rsidR="007A1C3A" w:rsidRPr="0051157C" w:rsidRDefault="007A1C3A" w:rsidP="00E9775B">
            <w:pPr>
              <w:pStyle w:val="ListParagraph"/>
              <w:numPr>
                <w:ilvl w:val="0"/>
                <w:numId w:val="3"/>
              </w:numPr>
              <w:spacing w:line="254" w:lineRule="auto"/>
              <w:ind w:left="259" w:hanging="259"/>
              <w:rPr>
                <w:rFonts w:ascii="Aptos" w:hAnsi="Aptos"/>
              </w:rPr>
            </w:pPr>
            <w:r w:rsidRPr="0051157C">
              <w:rPr>
                <w:rFonts w:ascii="Aptos" w:hAnsi="Aptos"/>
              </w:rPr>
              <w:t>The Bill proposes to reintroduce limitation of the period of utilisation of tax losses through amendment of Section 15(4) of the Income Tax Act (“</w:t>
            </w:r>
            <w:r w:rsidRPr="00411364">
              <w:rPr>
                <w:rFonts w:ascii="Aptos" w:hAnsi="Aptos"/>
                <w:b/>
                <w:bCs/>
              </w:rPr>
              <w:t>ITA</w:t>
            </w:r>
            <w:r w:rsidRPr="0051157C">
              <w:rPr>
                <w:rFonts w:ascii="Aptos" w:hAnsi="Aptos"/>
              </w:rPr>
              <w:t>”</w:t>
            </w:r>
            <w:r w:rsidR="008048D3">
              <w:rPr>
                <w:rFonts w:ascii="Aptos" w:hAnsi="Aptos"/>
              </w:rPr>
              <w:t>)</w:t>
            </w:r>
            <w:r w:rsidRPr="0051157C">
              <w:rPr>
                <w:rFonts w:ascii="Aptos" w:hAnsi="Aptos"/>
              </w:rPr>
              <w:t xml:space="preserve">. As per the proposal, tax losses shall only be available for utilisation in the year of income in which they arise and the succeeding five years of income. </w:t>
            </w:r>
          </w:p>
          <w:p w14:paraId="17F5B165" w14:textId="77777777" w:rsidR="007A1C3A" w:rsidRPr="0051157C" w:rsidRDefault="007A1C3A" w:rsidP="007A1C3A">
            <w:pPr>
              <w:pStyle w:val="ListParagraph"/>
              <w:spacing w:line="254" w:lineRule="auto"/>
              <w:ind w:left="259"/>
              <w:rPr>
                <w:rFonts w:ascii="Aptos" w:hAnsi="Aptos"/>
              </w:rPr>
            </w:pPr>
          </w:p>
          <w:p w14:paraId="47A32591" w14:textId="77777777" w:rsidR="007A1C3A" w:rsidRPr="0051157C" w:rsidRDefault="007A1C3A" w:rsidP="00E9775B">
            <w:pPr>
              <w:pStyle w:val="ListParagraph"/>
              <w:numPr>
                <w:ilvl w:val="0"/>
                <w:numId w:val="3"/>
              </w:numPr>
              <w:spacing w:line="254" w:lineRule="auto"/>
              <w:ind w:left="259" w:hanging="259"/>
              <w:rPr>
                <w:rFonts w:ascii="Aptos" w:hAnsi="Aptos"/>
              </w:rPr>
            </w:pPr>
            <w:r w:rsidRPr="0051157C">
              <w:rPr>
                <w:rFonts w:ascii="Aptos" w:hAnsi="Aptos"/>
              </w:rPr>
              <w:t>The Bill has not provided room for extension of the period beyond the five years. Instead, the Bill proposes to repeal the provision that allowed the Commissioner to extend the tax loss utilisation period beyond 10 years pre-2022 in section 15(5),</w:t>
            </w:r>
          </w:p>
          <w:p w14:paraId="58E4F627" w14:textId="77777777" w:rsidR="007A1C3A" w:rsidRPr="0051157C" w:rsidRDefault="007A1C3A" w:rsidP="007A1C3A">
            <w:pPr>
              <w:spacing w:line="254" w:lineRule="auto"/>
              <w:rPr>
                <w:rFonts w:ascii="Aptos" w:hAnsi="Aptos"/>
              </w:rPr>
            </w:pPr>
          </w:p>
          <w:p w14:paraId="62C42523" w14:textId="7CE505D9" w:rsidR="007A1C3A" w:rsidRPr="0051157C" w:rsidRDefault="007A1C3A" w:rsidP="007A1C3A">
            <w:pPr>
              <w:spacing w:line="254" w:lineRule="auto"/>
              <w:rPr>
                <w:rFonts w:ascii="Aptos" w:hAnsi="Aptos"/>
              </w:rPr>
            </w:pPr>
            <w:r w:rsidRPr="0051157C">
              <w:rPr>
                <w:rFonts w:ascii="Aptos" w:hAnsi="Aptos"/>
              </w:rPr>
              <w:t>We note that the limitation of the period for utilisation of tax losses had been repealed from the Income Tax Act through the Finance Act 2021 following the introduction of the now defunct minimum tax regime through the Finance Act, 2020, effective 1 January 2021.</w:t>
            </w:r>
          </w:p>
          <w:p w14:paraId="73E0450F" w14:textId="77777777" w:rsidR="007A1C3A" w:rsidRPr="0051157C" w:rsidRDefault="007A1C3A" w:rsidP="007A1C3A">
            <w:pPr>
              <w:spacing w:line="254" w:lineRule="auto"/>
              <w:rPr>
                <w:rFonts w:ascii="Aptos" w:hAnsi="Aptos"/>
              </w:rPr>
            </w:pPr>
          </w:p>
          <w:p w14:paraId="40964C20" w14:textId="77777777" w:rsidR="007A1C3A" w:rsidRPr="0051157C" w:rsidRDefault="007A1C3A" w:rsidP="007A1C3A">
            <w:pPr>
              <w:spacing w:line="254" w:lineRule="auto"/>
              <w:rPr>
                <w:rFonts w:ascii="Aptos" w:hAnsi="Aptos"/>
                <w:b/>
                <w:bCs/>
                <w:color w:val="92D050"/>
              </w:rPr>
            </w:pPr>
            <w:r w:rsidRPr="0051157C">
              <w:rPr>
                <w:rFonts w:ascii="Aptos" w:hAnsi="Aptos"/>
                <w:b/>
                <w:bCs/>
                <w:color w:val="92D050"/>
              </w:rPr>
              <w:t xml:space="preserve">Recommendation </w:t>
            </w:r>
          </w:p>
          <w:p w14:paraId="60F33F97" w14:textId="77777777" w:rsidR="007A1C3A" w:rsidRPr="0051157C" w:rsidRDefault="007A1C3A" w:rsidP="007A1C3A">
            <w:pPr>
              <w:spacing w:line="254" w:lineRule="auto"/>
              <w:rPr>
                <w:rFonts w:ascii="Aptos" w:hAnsi="Aptos"/>
                <w:i/>
                <w:iCs/>
              </w:rPr>
            </w:pPr>
            <w:r w:rsidRPr="0051157C">
              <w:rPr>
                <w:rFonts w:ascii="Aptos" w:hAnsi="Aptos"/>
                <w:i/>
                <w:iCs/>
              </w:rPr>
              <w:t>We recommend that section 15(4) of the ITA which provides for the indefinite carry forward of tax losses be retained, albeit with this amendment:-</w:t>
            </w:r>
          </w:p>
          <w:p w14:paraId="6EDB6722" w14:textId="77777777" w:rsidR="007A1C3A" w:rsidRPr="0051157C" w:rsidRDefault="007A1C3A" w:rsidP="007A1C3A">
            <w:pPr>
              <w:spacing w:line="254" w:lineRule="auto"/>
              <w:rPr>
                <w:rFonts w:ascii="Aptos" w:hAnsi="Aptos"/>
                <w:i/>
                <w:iCs/>
              </w:rPr>
            </w:pPr>
          </w:p>
          <w:p w14:paraId="7210770A" w14:textId="6F4A390E" w:rsidR="007A1C3A" w:rsidRPr="0051157C" w:rsidRDefault="00D435D4" w:rsidP="00E9775B">
            <w:pPr>
              <w:pStyle w:val="ListParagraph"/>
              <w:numPr>
                <w:ilvl w:val="0"/>
                <w:numId w:val="4"/>
              </w:numPr>
              <w:spacing w:after="160" w:line="254" w:lineRule="auto"/>
              <w:ind w:left="601" w:hanging="540"/>
              <w:rPr>
                <w:rFonts w:ascii="Aptos" w:hAnsi="Aptos"/>
                <w:i/>
                <w:iCs/>
              </w:rPr>
            </w:pPr>
            <w:r>
              <w:rPr>
                <w:rFonts w:ascii="Aptos" w:hAnsi="Aptos"/>
                <w:i/>
                <w:iCs/>
              </w:rPr>
              <w:t xml:space="preserve">The current section 15(4) should be amended to allow </w:t>
            </w:r>
            <w:r w:rsidR="007A1C3A" w:rsidRPr="0051157C">
              <w:rPr>
                <w:rFonts w:ascii="Aptos" w:hAnsi="Aptos"/>
                <w:i/>
                <w:iCs/>
              </w:rPr>
              <w:t>taxpayers to utilise the tax losses in phases until exhaustion, when they revert to payable position. For instance, in a particular year of income, where the taxpayer reports a taxable profit, 50% of it should be used to utilise loss carried forward while the remaining 50% be subjected to corporate income tax.</w:t>
            </w:r>
          </w:p>
          <w:p w14:paraId="7CB3A5DA" w14:textId="54039A7B" w:rsidR="007A1C3A" w:rsidRPr="0051157C" w:rsidRDefault="007A1C3A" w:rsidP="00E9775B">
            <w:pPr>
              <w:pStyle w:val="ListParagraph"/>
              <w:numPr>
                <w:ilvl w:val="0"/>
                <w:numId w:val="4"/>
              </w:numPr>
              <w:spacing w:after="160" w:line="254" w:lineRule="auto"/>
              <w:ind w:left="601" w:hanging="540"/>
              <w:rPr>
                <w:rFonts w:ascii="Aptos" w:hAnsi="Aptos"/>
                <w:i/>
                <w:iCs/>
              </w:rPr>
            </w:pPr>
            <w:r w:rsidRPr="0051157C">
              <w:rPr>
                <w:rFonts w:ascii="Aptos" w:hAnsi="Aptos"/>
                <w:i/>
                <w:iCs/>
              </w:rPr>
              <w:t xml:space="preserve">Further, we propose inclusion of a transitional provision for losses that may have arisen in prior years where accumulated losses will be </w:t>
            </w:r>
            <w:r w:rsidRPr="0051157C">
              <w:rPr>
                <w:rFonts w:ascii="Aptos" w:hAnsi="Aptos"/>
                <w:i/>
                <w:iCs/>
              </w:rPr>
              <w:lastRenderedPageBreak/>
              <w:t>deemed to have been incurred in the year of income the provision comes into force.</w:t>
            </w:r>
          </w:p>
          <w:p w14:paraId="3B1F7347" w14:textId="2B1664F8" w:rsidR="007A1C3A" w:rsidRPr="0051157C" w:rsidRDefault="007A1C3A" w:rsidP="00E9775B">
            <w:pPr>
              <w:pStyle w:val="ListParagraph"/>
              <w:numPr>
                <w:ilvl w:val="0"/>
                <w:numId w:val="4"/>
              </w:numPr>
              <w:spacing w:after="160" w:line="254" w:lineRule="auto"/>
              <w:ind w:left="601" w:hanging="540"/>
              <w:rPr>
                <w:rFonts w:ascii="Aptos" w:hAnsi="Aptos"/>
                <w:i/>
                <w:iCs/>
              </w:rPr>
            </w:pPr>
            <w:r w:rsidRPr="0051157C">
              <w:rPr>
                <w:rFonts w:ascii="Aptos" w:hAnsi="Aptos"/>
                <w:i/>
                <w:iCs/>
              </w:rPr>
              <w:t>A proviso that the limitation of carrying forward of losses will not apply to taxpayers engaging in extractive or agriculture activities.</w:t>
            </w:r>
          </w:p>
          <w:p w14:paraId="465084C2" w14:textId="77777777" w:rsidR="007A1C3A" w:rsidRPr="0051157C" w:rsidRDefault="007A1C3A" w:rsidP="007A1C3A">
            <w:pPr>
              <w:jc w:val="both"/>
              <w:rPr>
                <w:rFonts w:ascii="Aptos" w:hAnsi="Aptos" w:cstheme="majorHAnsi"/>
                <w:bCs/>
              </w:rPr>
            </w:pPr>
          </w:p>
        </w:tc>
        <w:tc>
          <w:tcPr>
            <w:tcW w:w="4334" w:type="dxa"/>
          </w:tcPr>
          <w:p w14:paraId="25F6A8DA" w14:textId="30064DF1" w:rsidR="007A1C3A" w:rsidRPr="0051157C" w:rsidRDefault="007A1C3A" w:rsidP="007A1C3A">
            <w:pPr>
              <w:spacing w:after="120" w:line="264" w:lineRule="auto"/>
              <w:rPr>
                <w:rFonts w:ascii="Aptos" w:eastAsia="Calibri Light" w:hAnsi="Aptos" w:cstheme="minorHAnsi"/>
              </w:rPr>
            </w:pPr>
            <w:r w:rsidRPr="0051157C">
              <w:rPr>
                <w:rFonts w:ascii="Aptos" w:eastAsia="Calibri Light" w:hAnsi="Aptos" w:cstheme="minorHAnsi"/>
              </w:rPr>
              <w:lastRenderedPageBreak/>
              <w:t xml:space="preserve">It is our view that the five-year period may be quite short for capital intensive investments hence this proposal stands to </w:t>
            </w:r>
            <w:r w:rsidR="00627D45" w:rsidRPr="0051157C">
              <w:rPr>
                <w:rFonts w:ascii="Aptos" w:eastAsia="Calibri Light" w:hAnsi="Aptos" w:cstheme="minorHAnsi"/>
              </w:rPr>
              <w:t>impact certain taxpayers disproportionally and negatively</w:t>
            </w:r>
            <w:r w:rsidRPr="0051157C">
              <w:rPr>
                <w:rFonts w:ascii="Aptos" w:eastAsia="Calibri Light" w:hAnsi="Aptos" w:cstheme="minorHAnsi"/>
              </w:rPr>
              <w:t>, particularly those in capital-intensive sectors, such as manufacturing and the extractive industries, which often incur substantial tax losses over extended periods. This change may potentially stifle future investment in these vital sectors.</w:t>
            </w:r>
          </w:p>
          <w:p w14:paraId="02B86F5E" w14:textId="77777777" w:rsidR="007A1C3A" w:rsidRPr="0051157C" w:rsidRDefault="007A1C3A" w:rsidP="007A1C3A">
            <w:pPr>
              <w:pStyle w:val="NormalWeb"/>
              <w:rPr>
                <w:rFonts w:ascii="Aptos" w:eastAsia="Calibri Light" w:hAnsi="Aptos" w:cstheme="minorHAnsi"/>
                <w:sz w:val="22"/>
                <w:szCs w:val="22"/>
              </w:rPr>
            </w:pPr>
            <w:r w:rsidRPr="0051157C">
              <w:rPr>
                <w:rFonts w:ascii="Aptos" w:eastAsia="Calibri Light" w:hAnsi="Aptos" w:cstheme="minorHAnsi"/>
                <w:sz w:val="22"/>
                <w:szCs w:val="22"/>
              </w:rPr>
              <w:t>To protect businesses that incur bona fide tax losses and require more than five years to utilise the same, the government should consider phased out approach to utilization of tax losses.</w:t>
            </w:r>
          </w:p>
          <w:p w14:paraId="78951727" w14:textId="5C26CDD3" w:rsidR="007A1C3A" w:rsidRPr="0051157C" w:rsidRDefault="007A1C3A" w:rsidP="007A1C3A">
            <w:pPr>
              <w:pStyle w:val="NormalWeb"/>
              <w:rPr>
                <w:rFonts w:ascii="Aptos" w:eastAsia="Calibri Light" w:hAnsi="Aptos" w:cstheme="minorHAnsi"/>
                <w:sz w:val="22"/>
                <w:szCs w:val="22"/>
              </w:rPr>
            </w:pPr>
            <w:r w:rsidRPr="0051157C">
              <w:rPr>
                <w:rFonts w:ascii="Aptos" w:eastAsia="Calibri Light" w:hAnsi="Aptos" w:cstheme="minorHAnsi"/>
                <w:sz w:val="22"/>
                <w:szCs w:val="22"/>
              </w:rPr>
              <w:t xml:space="preserve">For comparison we note that Tanzania has structured the utilization of tax losses in a manner that allows for eventual </w:t>
            </w:r>
            <w:r w:rsidR="001325FB" w:rsidRPr="0051157C">
              <w:rPr>
                <w:rFonts w:ascii="Aptos" w:eastAsia="Calibri Light" w:hAnsi="Aptos" w:cstheme="minorHAnsi"/>
                <w:sz w:val="22"/>
                <w:szCs w:val="22"/>
              </w:rPr>
              <w:t>claim of</w:t>
            </w:r>
            <w:r w:rsidRPr="0051157C">
              <w:rPr>
                <w:rFonts w:ascii="Aptos" w:eastAsia="Calibri Light" w:hAnsi="Aptos" w:cstheme="minorHAnsi"/>
                <w:sz w:val="22"/>
                <w:szCs w:val="22"/>
              </w:rPr>
              <w:t xml:space="preserve"> all the losses but also payment of  taxes in  a year of income where the entity reports a taxable income. Under this regime, 40% of the taxable profit reported is taxed while 60% is utilized to offset outstanding tax losses. Further, Tanzania excludes key sectors of the economy e.g. agricultural </w:t>
            </w:r>
            <w:r w:rsidRPr="0051157C">
              <w:rPr>
                <w:rFonts w:ascii="Aptos" w:eastAsia="Calibri Light" w:hAnsi="Aptos" w:cstheme="minorHAnsi"/>
                <w:sz w:val="22"/>
                <w:szCs w:val="22"/>
              </w:rPr>
              <w:lastRenderedPageBreak/>
              <w:t>sector from the restriction of utilization of tax losses.</w:t>
            </w:r>
          </w:p>
          <w:p w14:paraId="0AA6213E" w14:textId="024A393D" w:rsidR="007A1C3A" w:rsidRPr="0051157C" w:rsidRDefault="007A1C3A" w:rsidP="007A1C3A">
            <w:pPr>
              <w:pStyle w:val="NormalWeb"/>
              <w:rPr>
                <w:rFonts w:ascii="Aptos" w:eastAsia="Calibri Light" w:hAnsi="Aptos" w:cstheme="minorHAnsi"/>
                <w:sz w:val="22"/>
                <w:szCs w:val="22"/>
              </w:rPr>
            </w:pPr>
            <w:r w:rsidRPr="0051157C">
              <w:rPr>
                <w:rFonts w:ascii="Aptos" w:eastAsia="Calibri Light" w:hAnsi="Aptos" w:cstheme="minorHAnsi"/>
                <w:sz w:val="22"/>
                <w:szCs w:val="22"/>
              </w:rPr>
              <w:t>In Uganda, the taxpayer is allowed to claim the tax loss for seven consecutive year and any loss tax loss that remains unutilised thereafter, only 50% is considered claimable.</w:t>
            </w:r>
          </w:p>
          <w:p w14:paraId="22560B7C" w14:textId="77777777" w:rsidR="007A1C3A" w:rsidRPr="0051157C" w:rsidRDefault="007A1C3A" w:rsidP="007A1C3A">
            <w:pPr>
              <w:pStyle w:val="NormalWeb"/>
              <w:rPr>
                <w:rFonts w:ascii="Aptos" w:eastAsia="Calibri Light" w:hAnsi="Aptos" w:cstheme="minorHAnsi"/>
                <w:sz w:val="22"/>
                <w:szCs w:val="22"/>
              </w:rPr>
            </w:pPr>
            <w:r w:rsidRPr="0051157C">
              <w:rPr>
                <w:rFonts w:ascii="Aptos" w:eastAsia="Calibri Light" w:hAnsi="Aptos" w:cstheme="minorHAnsi"/>
                <w:sz w:val="22"/>
                <w:szCs w:val="22"/>
              </w:rPr>
              <w:t>Our proposal would lead to a level playground for potential investors eyeing to make investments in any of the three East African countries.</w:t>
            </w:r>
          </w:p>
          <w:p w14:paraId="656884F0" w14:textId="77777777" w:rsidR="007A1C3A" w:rsidRDefault="007A1C3A" w:rsidP="007A1C3A">
            <w:pPr>
              <w:jc w:val="both"/>
              <w:rPr>
                <w:rFonts w:ascii="Aptos" w:eastAsia="Calibri Light" w:hAnsi="Aptos" w:cstheme="minorHAnsi"/>
              </w:rPr>
            </w:pPr>
            <w:r w:rsidRPr="0051157C">
              <w:rPr>
                <w:rFonts w:ascii="Aptos" w:eastAsia="Calibri Light" w:hAnsi="Aptos" w:cstheme="minorHAnsi"/>
              </w:rPr>
              <w:t>We are further cognisant of the fact that players in the extractive industry may require not less than 10 years for exploration before making gainful return on their investment. As regards exemption of Agriculture activities, Agriculture Sector is and remains the key contributor to the country’s GDP and most importantly provides food security for the citizenry as well as being the source of key raw materials for the manufacturing sector.</w:t>
            </w:r>
          </w:p>
          <w:p w14:paraId="1A01D813" w14:textId="12F1DF89" w:rsidR="00E603A1" w:rsidRPr="0051157C" w:rsidRDefault="00E603A1" w:rsidP="007A1C3A">
            <w:pPr>
              <w:jc w:val="both"/>
              <w:rPr>
                <w:rFonts w:ascii="Aptos" w:hAnsi="Aptos" w:cstheme="majorHAnsi"/>
                <w:bCs/>
              </w:rPr>
            </w:pPr>
          </w:p>
        </w:tc>
      </w:tr>
      <w:tr w:rsidR="00345DFD" w:rsidRPr="0051157C" w14:paraId="6F6E2F2A" w14:textId="77777777" w:rsidTr="009A3429">
        <w:tc>
          <w:tcPr>
            <w:tcW w:w="535" w:type="dxa"/>
          </w:tcPr>
          <w:p w14:paraId="3316F980" w14:textId="391975AD" w:rsidR="00345DFD" w:rsidRPr="0051157C" w:rsidRDefault="00345DFD" w:rsidP="00345DFD">
            <w:pPr>
              <w:jc w:val="both"/>
              <w:rPr>
                <w:rFonts w:ascii="Aptos" w:hAnsi="Aptos" w:cstheme="minorHAnsi"/>
                <w:b/>
              </w:rPr>
            </w:pPr>
            <w:r w:rsidRPr="0051157C">
              <w:rPr>
                <w:rFonts w:ascii="Aptos" w:hAnsi="Aptos" w:cstheme="minorHAnsi"/>
                <w:b/>
              </w:rPr>
              <w:lastRenderedPageBreak/>
              <w:t>2.</w:t>
            </w:r>
          </w:p>
        </w:tc>
        <w:tc>
          <w:tcPr>
            <w:tcW w:w="1949" w:type="dxa"/>
          </w:tcPr>
          <w:p w14:paraId="2496FB41" w14:textId="77777777" w:rsidR="00345DFD" w:rsidRPr="0051157C" w:rsidRDefault="00345DFD" w:rsidP="00345DFD">
            <w:pPr>
              <w:rPr>
                <w:rFonts w:ascii="Aptos" w:eastAsiaTheme="minorEastAsia" w:hAnsi="Aptos" w:cstheme="minorHAnsi"/>
                <w:b/>
                <w:bCs/>
              </w:rPr>
            </w:pPr>
            <w:r w:rsidRPr="0051157C">
              <w:rPr>
                <w:rFonts w:ascii="Aptos" w:eastAsiaTheme="minorEastAsia" w:hAnsi="Aptos" w:cstheme="minorHAnsi"/>
                <w:b/>
                <w:bCs/>
              </w:rPr>
              <w:t>Clause 8 (a) (v) &amp; (vi)</w:t>
            </w:r>
          </w:p>
          <w:p w14:paraId="4F31AC27" w14:textId="77777777" w:rsidR="00345DFD" w:rsidRPr="0051157C" w:rsidRDefault="00345DFD" w:rsidP="00345DFD">
            <w:pPr>
              <w:rPr>
                <w:rFonts w:ascii="Aptos" w:eastAsiaTheme="minorEastAsia" w:hAnsi="Aptos" w:cstheme="minorHAnsi"/>
                <w:b/>
                <w:bCs/>
              </w:rPr>
            </w:pPr>
          </w:p>
          <w:p w14:paraId="3FA62F35" w14:textId="4DEDDE40" w:rsidR="00345DFD" w:rsidRPr="0051157C" w:rsidRDefault="00345DFD" w:rsidP="00345DFD">
            <w:pPr>
              <w:spacing w:line="254" w:lineRule="auto"/>
              <w:rPr>
                <w:rFonts w:ascii="Aptos" w:hAnsi="Aptos" w:cstheme="minorHAnsi"/>
                <w:b/>
                <w:bCs/>
              </w:rPr>
            </w:pPr>
            <w:r w:rsidRPr="0051157C">
              <w:rPr>
                <w:rFonts w:ascii="Aptos" w:hAnsi="Aptos"/>
                <w:b/>
                <w:bCs/>
              </w:rPr>
              <w:t>Deductibility of donations</w:t>
            </w:r>
          </w:p>
          <w:p w14:paraId="136E6EE2" w14:textId="77777777" w:rsidR="00345DFD" w:rsidRPr="0051157C" w:rsidRDefault="00345DFD" w:rsidP="00345DFD">
            <w:pPr>
              <w:jc w:val="both"/>
              <w:rPr>
                <w:rFonts w:ascii="Aptos" w:hAnsi="Aptos" w:cstheme="minorHAnsi"/>
                <w:b/>
              </w:rPr>
            </w:pPr>
          </w:p>
        </w:tc>
        <w:tc>
          <w:tcPr>
            <w:tcW w:w="7636" w:type="dxa"/>
          </w:tcPr>
          <w:p w14:paraId="63CAA2DF" w14:textId="6FD72F7B" w:rsidR="00345DFD" w:rsidRPr="0051157C" w:rsidRDefault="00345DFD" w:rsidP="00E9775B">
            <w:pPr>
              <w:pStyle w:val="ListParagraph"/>
              <w:numPr>
                <w:ilvl w:val="0"/>
                <w:numId w:val="5"/>
              </w:numPr>
              <w:spacing w:after="120" w:line="254" w:lineRule="auto"/>
              <w:ind w:left="259" w:hanging="270"/>
              <w:rPr>
                <w:rFonts w:ascii="Aptos" w:hAnsi="Aptos"/>
              </w:rPr>
            </w:pPr>
            <w:r w:rsidRPr="0051157C">
              <w:rPr>
                <w:rFonts w:ascii="Aptos" w:hAnsi="Aptos"/>
              </w:rPr>
              <w:lastRenderedPageBreak/>
              <w:t>The Bill proposes to amend Section 15(2)(w) of the ITA to entitle a person to a deduction in respect of donations channelled towards construction of a public sports facility.</w:t>
            </w:r>
          </w:p>
          <w:p w14:paraId="5F388BC3" w14:textId="77777777" w:rsidR="00345DFD" w:rsidRPr="0051157C" w:rsidRDefault="00345DFD" w:rsidP="00345DFD">
            <w:pPr>
              <w:pStyle w:val="ListParagraph"/>
              <w:spacing w:after="120" w:line="254" w:lineRule="auto"/>
              <w:ind w:left="259"/>
              <w:rPr>
                <w:rFonts w:ascii="Aptos" w:hAnsi="Aptos"/>
              </w:rPr>
            </w:pPr>
          </w:p>
          <w:p w14:paraId="6D816917" w14:textId="77777777" w:rsidR="00345DFD" w:rsidRPr="0051157C" w:rsidRDefault="00345DFD" w:rsidP="00E9775B">
            <w:pPr>
              <w:pStyle w:val="ListParagraph"/>
              <w:numPr>
                <w:ilvl w:val="0"/>
                <w:numId w:val="5"/>
              </w:numPr>
              <w:spacing w:after="120" w:line="254" w:lineRule="auto"/>
              <w:ind w:left="259" w:hanging="270"/>
              <w:rPr>
                <w:rFonts w:ascii="Aptos" w:hAnsi="Aptos"/>
              </w:rPr>
            </w:pPr>
            <w:r w:rsidRPr="0051157C">
              <w:rPr>
                <w:rFonts w:ascii="Aptos" w:hAnsi="Aptos"/>
              </w:rPr>
              <w:lastRenderedPageBreak/>
              <w:t>The Bill also proposes to repeal Section 15(2)(z) of the ITA, which entitles a person to a deduction in respect of expenditure incurred in sponsoring sports with the prior approval of the Cabinet Secretary responsible for Sports.</w:t>
            </w:r>
          </w:p>
          <w:p w14:paraId="1C0E2C4C" w14:textId="77777777" w:rsidR="00345DFD" w:rsidRPr="0051157C" w:rsidRDefault="00345DFD" w:rsidP="00345DFD">
            <w:pPr>
              <w:spacing w:after="120" w:line="254" w:lineRule="auto"/>
              <w:rPr>
                <w:rFonts w:ascii="Aptos" w:eastAsia="Calibri Light" w:hAnsi="Aptos" w:cstheme="minorHAnsi"/>
                <w:b/>
                <w:bCs/>
                <w:i/>
                <w:iCs/>
                <w:color w:val="92D050"/>
              </w:rPr>
            </w:pPr>
            <w:r w:rsidRPr="0051157C">
              <w:rPr>
                <w:rFonts w:ascii="Aptos" w:eastAsia="Calibri Light" w:hAnsi="Aptos" w:cstheme="minorHAnsi"/>
                <w:b/>
                <w:bCs/>
                <w:i/>
                <w:iCs/>
                <w:color w:val="92D050"/>
              </w:rPr>
              <w:t>Recommendation</w:t>
            </w:r>
          </w:p>
          <w:p w14:paraId="66C618DA" w14:textId="77BCB09F" w:rsidR="00345DFD" w:rsidRPr="0051157C" w:rsidRDefault="00345DFD" w:rsidP="00345DFD">
            <w:pPr>
              <w:spacing w:after="120" w:line="254" w:lineRule="auto"/>
              <w:rPr>
                <w:rFonts w:ascii="Aptos" w:eastAsia="Calibri Light" w:hAnsi="Aptos" w:cstheme="minorHAnsi"/>
                <w:i/>
                <w:iCs/>
              </w:rPr>
            </w:pPr>
            <w:r w:rsidRPr="0051157C">
              <w:rPr>
                <w:rFonts w:ascii="Aptos" w:eastAsia="Calibri Light" w:hAnsi="Aptos" w:cstheme="minorHAnsi"/>
              </w:rPr>
              <w:t>While we recognise that this is a positive move that will eliminate the administrative costs and time spent in seeking approval from the Cabinet Secretary for Sports and Youth Affairs,  we recommend that</w:t>
            </w:r>
            <w:r w:rsidRPr="0051157C">
              <w:rPr>
                <w:rFonts w:ascii="Aptos" w:eastAsia="Calibri Light" w:hAnsi="Aptos" w:cstheme="minorHAnsi"/>
                <w:i/>
                <w:iCs/>
              </w:rPr>
              <w:t xml:space="preserve"> </w:t>
            </w:r>
          </w:p>
          <w:p w14:paraId="0EA07D3E" w14:textId="55809DEA" w:rsidR="00345DFD" w:rsidRPr="0051157C" w:rsidRDefault="00345DFD" w:rsidP="00E9775B">
            <w:pPr>
              <w:pStyle w:val="ListParagraph"/>
              <w:numPr>
                <w:ilvl w:val="0"/>
                <w:numId w:val="6"/>
              </w:numPr>
              <w:spacing w:after="120" w:line="254" w:lineRule="auto"/>
              <w:rPr>
                <w:rFonts w:ascii="Aptos" w:eastAsia="Calibri Light" w:hAnsi="Aptos" w:cstheme="minorHAnsi"/>
                <w:i/>
                <w:iCs/>
              </w:rPr>
            </w:pPr>
            <w:r w:rsidRPr="0051157C">
              <w:rPr>
                <w:rFonts w:ascii="Aptos" w:eastAsia="Calibri Light" w:hAnsi="Aptos" w:cstheme="minorHAnsi"/>
                <w:i/>
                <w:iCs/>
              </w:rPr>
              <w:t>the deduction of donations is extended to include construction of all sports facilities and any other expenditure incurred by a person in sponsoring sports activities</w:t>
            </w:r>
            <w:r w:rsidR="001F5F89">
              <w:rPr>
                <w:rFonts w:ascii="Aptos" w:eastAsia="Calibri Light" w:hAnsi="Aptos" w:cstheme="minorHAnsi"/>
                <w:i/>
                <w:iCs/>
              </w:rPr>
              <w:t xml:space="preserve"> for entities registered under the respective sports’ governing bodies</w:t>
            </w:r>
            <w:r w:rsidRPr="0051157C">
              <w:rPr>
                <w:rFonts w:ascii="Aptos" w:eastAsia="Calibri Light" w:hAnsi="Aptos" w:cstheme="minorHAnsi"/>
                <w:i/>
                <w:iCs/>
              </w:rPr>
              <w:t xml:space="preserve">. </w:t>
            </w:r>
          </w:p>
        </w:tc>
        <w:tc>
          <w:tcPr>
            <w:tcW w:w="4334" w:type="dxa"/>
          </w:tcPr>
          <w:p w14:paraId="69E137BB" w14:textId="7CF806D0" w:rsidR="00345DFD" w:rsidRPr="0051157C" w:rsidRDefault="00345DFD" w:rsidP="00345DFD">
            <w:pPr>
              <w:rPr>
                <w:rFonts w:ascii="Aptos" w:eastAsia="Calibri Light" w:hAnsi="Aptos" w:cstheme="minorHAnsi"/>
              </w:rPr>
            </w:pPr>
            <w:r w:rsidRPr="0051157C">
              <w:rPr>
                <w:rFonts w:ascii="Aptos" w:eastAsia="Calibri Light" w:hAnsi="Aptos" w:cstheme="minorHAnsi"/>
              </w:rPr>
              <w:lastRenderedPageBreak/>
              <w:t xml:space="preserve">In as much as we recognise this proposal as a welcome move, we note that this proposal appears to limit the deduction to construction of a public sports facility which leaves out all the other forms of </w:t>
            </w:r>
            <w:r w:rsidRPr="0051157C">
              <w:rPr>
                <w:rFonts w:ascii="Aptos" w:eastAsia="Calibri Light" w:hAnsi="Aptos" w:cstheme="minorHAnsi"/>
              </w:rPr>
              <w:lastRenderedPageBreak/>
              <w:t xml:space="preserve">expenditure for sponsoring sports activities. </w:t>
            </w:r>
          </w:p>
          <w:p w14:paraId="0023E711" w14:textId="77777777" w:rsidR="00345DFD" w:rsidRPr="0051157C" w:rsidRDefault="00345DFD" w:rsidP="00345DFD">
            <w:pPr>
              <w:rPr>
                <w:rFonts w:ascii="Aptos" w:eastAsia="Calibri Light" w:hAnsi="Aptos" w:cstheme="minorHAnsi"/>
              </w:rPr>
            </w:pPr>
          </w:p>
          <w:p w14:paraId="33F7FD66" w14:textId="4306CD89" w:rsidR="00345DFD" w:rsidRPr="0051157C" w:rsidRDefault="00345DFD" w:rsidP="00345DFD">
            <w:pPr>
              <w:rPr>
                <w:rFonts w:ascii="Aptos" w:eastAsia="Calibri Light" w:hAnsi="Aptos" w:cstheme="minorHAnsi"/>
              </w:rPr>
            </w:pPr>
            <w:r w:rsidRPr="0051157C">
              <w:rPr>
                <w:rFonts w:ascii="Aptos" w:eastAsia="Calibri Light" w:hAnsi="Aptos" w:cstheme="minorHAnsi"/>
              </w:rPr>
              <w:t>There may be need to widen the scope of this measure to cover other expenditure that is vital for development of sports to encourage both individual and corporate sponsors to participate in nurturing talent.</w:t>
            </w:r>
          </w:p>
          <w:p w14:paraId="45BBDB57" w14:textId="77777777" w:rsidR="00345DFD" w:rsidRPr="0051157C" w:rsidRDefault="00345DFD" w:rsidP="00345DFD">
            <w:pPr>
              <w:rPr>
                <w:rFonts w:ascii="Aptos" w:eastAsia="Calibri Light" w:hAnsi="Aptos" w:cstheme="minorHAnsi"/>
              </w:rPr>
            </w:pPr>
          </w:p>
          <w:p w14:paraId="0FE0A12F" w14:textId="6737DBB3" w:rsidR="00345DFD" w:rsidRPr="0051157C" w:rsidRDefault="00345DFD" w:rsidP="00345DFD">
            <w:pPr>
              <w:rPr>
                <w:rFonts w:ascii="Aptos" w:eastAsia="Calibri Light" w:hAnsi="Aptos" w:cstheme="minorHAnsi"/>
              </w:rPr>
            </w:pPr>
            <w:r w:rsidRPr="0051157C">
              <w:rPr>
                <w:rFonts w:ascii="Aptos" w:eastAsia="Calibri Light" w:hAnsi="Aptos" w:cstheme="minorHAnsi"/>
              </w:rPr>
              <w:t>Currently, some companies are key sponsors of sports as part of their CSR activities. Allowing the deduction would act as an incentive and may encourage companies to allocate higher budget for sports sponsorship.</w:t>
            </w:r>
          </w:p>
          <w:p w14:paraId="3DF15C49" w14:textId="77777777" w:rsidR="00345DFD" w:rsidRPr="0051157C" w:rsidRDefault="00345DFD" w:rsidP="00345DFD">
            <w:pPr>
              <w:jc w:val="both"/>
              <w:rPr>
                <w:rFonts w:ascii="Aptos" w:hAnsi="Aptos" w:cstheme="majorHAnsi"/>
                <w:bCs/>
              </w:rPr>
            </w:pPr>
          </w:p>
        </w:tc>
      </w:tr>
      <w:tr w:rsidR="00B96F36" w:rsidRPr="0051157C" w14:paraId="135DCB9B" w14:textId="77777777" w:rsidTr="009A3429">
        <w:tc>
          <w:tcPr>
            <w:tcW w:w="535" w:type="dxa"/>
          </w:tcPr>
          <w:p w14:paraId="71144582" w14:textId="1A8C84F4" w:rsidR="00B96F36" w:rsidRPr="0051157C" w:rsidRDefault="00B96F36" w:rsidP="00B96F36">
            <w:pPr>
              <w:jc w:val="both"/>
              <w:rPr>
                <w:rFonts w:ascii="Aptos" w:hAnsi="Aptos" w:cstheme="minorHAnsi"/>
                <w:b/>
              </w:rPr>
            </w:pPr>
            <w:r w:rsidRPr="0051157C">
              <w:rPr>
                <w:rFonts w:ascii="Aptos" w:hAnsi="Aptos" w:cstheme="minorHAnsi"/>
                <w:b/>
                <w:bCs/>
              </w:rPr>
              <w:lastRenderedPageBreak/>
              <w:t>3.</w:t>
            </w:r>
          </w:p>
        </w:tc>
        <w:tc>
          <w:tcPr>
            <w:tcW w:w="1949" w:type="dxa"/>
          </w:tcPr>
          <w:p w14:paraId="1BD534F9" w14:textId="77777777" w:rsidR="00B96F36" w:rsidRPr="0051157C" w:rsidRDefault="00B96F36" w:rsidP="00B96F36">
            <w:pPr>
              <w:rPr>
                <w:rFonts w:ascii="Aptos" w:eastAsiaTheme="minorEastAsia" w:hAnsi="Aptos" w:cstheme="minorHAnsi"/>
                <w:b/>
                <w:bCs/>
              </w:rPr>
            </w:pPr>
            <w:r w:rsidRPr="0051157C">
              <w:rPr>
                <w:rFonts w:ascii="Aptos" w:eastAsiaTheme="minorEastAsia" w:hAnsi="Aptos" w:cstheme="minorHAnsi"/>
                <w:b/>
                <w:bCs/>
              </w:rPr>
              <w:t>Clause 28(b)(iv)</w:t>
            </w:r>
          </w:p>
          <w:p w14:paraId="5D5DEE00" w14:textId="77777777" w:rsidR="00B96F36" w:rsidRPr="0051157C" w:rsidRDefault="00B96F36" w:rsidP="00B96F36">
            <w:pPr>
              <w:rPr>
                <w:rFonts w:ascii="Aptos" w:eastAsiaTheme="minorEastAsia" w:hAnsi="Aptos" w:cstheme="minorHAnsi"/>
                <w:b/>
                <w:bCs/>
              </w:rPr>
            </w:pPr>
          </w:p>
          <w:p w14:paraId="31BB71C1" w14:textId="77806305" w:rsidR="00B96F36" w:rsidRPr="0051157C" w:rsidRDefault="00B96F36" w:rsidP="00B96F36">
            <w:pPr>
              <w:jc w:val="both"/>
              <w:rPr>
                <w:rFonts w:ascii="Aptos" w:hAnsi="Aptos" w:cstheme="minorHAnsi"/>
                <w:b/>
              </w:rPr>
            </w:pPr>
            <w:r w:rsidRPr="0051157C">
              <w:rPr>
                <w:rFonts w:ascii="Aptos" w:hAnsi="Aptos"/>
                <w:b/>
                <w:bCs/>
              </w:rPr>
              <w:t>Incentives to companies certified by the Nairobi International Financial Centre Authority</w:t>
            </w:r>
          </w:p>
        </w:tc>
        <w:tc>
          <w:tcPr>
            <w:tcW w:w="7636" w:type="dxa"/>
          </w:tcPr>
          <w:p w14:paraId="6F57DBD7" w14:textId="77777777" w:rsidR="00B96F36" w:rsidRPr="0051157C" w:rsidRDefault="00B96F36" w:rsidP="00B96F36">
            <w:pPr>
              <w:spacing w:after="120" w:line="254" w:lineRule="auto"/>
              <w:rPr>
                <w:rFonts w:ascii="Aptos" w:hAnsi="Aptos"/>
              </w:rPr>
            </w:pPr>
            <w:r w:rsidRPr="0051157C">
              <w:rPr>
                <w:rFonts w:ascii="Aptos" w:hAnsi="Aptos"/>
              </w:rPr>
              <w:t>The Bill proposes a raft of amendments aimed at incentivizing entities certified by the Nairobi International Financial Centre Authority (“NIFCA”). They include:-</w:t>
            </w:r>
          </w:p>
          <w:p w14:paraId="1899B674" w14:textId="77777777" w:rsidR="00B96F36" w:rsidRPr="0051157C" w:rsidRDefault="00B96F36" w:rsidP="00E9775B">
            <w:pPr>
              <w:pStyle w:val="ListParagraph"/>
              <w:numPr>
                <w:ilvl w:val="0"/>
                <w:numId w:val="7"/>
              </w:numPr>
              <w:spacing w:after="120" w:line="254" w:lineRule="auto"/>
              <w:ind w:left="259" w:hanging="270"/>
              <w:rPr>
                <w:rFonts w:ascii="Aptos" w:hAnsi="Aptos"/>
              </w:rPr>
            </w:pPr>
            <w:r w:rsidRPr="0051157C">
              <w:rPr>
                <w:rFonts w:ascii="Aptos" w:hAnsi="Aptos"/>
              </w:rPr>
              <w:t xml:space="preserve">Introduction of a reduced corporate tax rate of 15% for companies certified by NIFCA for the first ten years and 20% for the subsequent 10 years, if; </w:t>
            </w:r>
          </w:p>
          <w:p w14:paraId="5BF9309E" w14:textId="77777777" w:rsidR="00B96F36" w:rsidRPr="0051157C" w:rsidRDefault="00B96F36" w:rsidP="00B96F36">
            <w:pPr>
              <w:spacing w:after="120" w:line="254" w:lineRule="auto"/>
              <w:ind w:left="529" w:hanging="180"/>
              <w:rPr>
                <w:rFonts w:ascii="Aptos" w:hAnsi="Aptos"/>
              </w:rPr>
            </w:pPr>
            <w:r w:rsidRPr="0051157C">
              <w:rPr>
                <w:rFonts w:ascii="Aptos" w:hAnsi="Aptos"/>
              </w:rPr>
              <w:t xml:space="preserve">a) The company invests at least three billion shillings in the first three years of operation; </w:t>
            </w:r>
          </w:p>
          <w:p w14:paraId="01CB0B3F" w14:textId="77777777" w:rsidR="00B96F36" w:rsidRPr="0051157C" w:rsidRDefault="00B96F36" w:rsidP="00B96F36">
            <w:pPr>
              <w:spacing w:after="120" w:line="254" w:lineRule="auto"/>
              <w:ind w:left="529" w:hanging="180"/>
              <w:rPr>
                <w:rFonts w:ascii="Aptos" w:hAnsi="Aptos"/>
              </w:rPr>
            </w:pPr>
            <w:r w:rsidRPr="0051157C">
              <w:rPr>
                <w:rFonts w:ascii="Aptos" w:hAnsi="Aptos"/>
              </w:rPr>
              <w:t xml:space="preserve">b) The company is a holding company with at least 75% of the top management being citizens of Kenya; and </w:t>
            </w:r>
          </w:p>
          <w:p w14:paraId="657B2E4D" w14:textId="77777777" w:rsidR="00B96F36" w:rsidRPr="0051157C" w:rsidRDefault="00B96F36" w:rsidP="00B96F36">
            <w:pPr>
              <w:spacing w:after="120" w:line="254" w:lineRule="auto"/>
              <w:ind w:left="529" w:hanging="180"/>
              <w:rPr>
                <w:rFonts w:ascii="Aptos" w:hAnsi="Aptos"/>
              </w:rPr>
            </w:pPr>
            <w:r w:rsidRPr="0051157C">
              <w:rPr>
                <w:rFonts w:ascii="Aptos" w:hAnsi="Aptos"/>
              </w:rPr>
              <w:t xml:space="preserve">c) The regional headquarters of the company are in Kenya and at least 60% of the top management are Kenyan citizens. </w:t>
            </w:r>
          </w:p>
          <w:p w14:paraId="41AC2594" w14:textId="77777777" w:rsidR="00B96F36" w:rsidRPr="0051157C" w:rsidRDefault="00B96F36" w:rsidP="00E9775B">
            <w:pPr>
              <w:pStyle w:val="ListParagraph"/>
              <w:numPr>
                <w:ilvl w:val="0"/>
                <w:numId w:val="7"/>
              </w:numPr>
              <w:spacing w:after="120" w:line="254" w:lineRule="auto"/>
              <w:ind w:left="349" w:hanging="349"/>
              <w:rPr>
                <w:rFonts w:ascii="Aptos" w:hAnsi="Aptos"/>
              </w:rPr>
            </w:pPr>
            <w:r w:rsidRPr="0051157C">
              <w:rPr>
                <w:rFonts w:ascii="Aptos" w:hAnsi="Aptos"/>
              </w:rPr>
              <w:lastRenderedPageBreak/>
              <w:t>A reduced corporate tax rate of 15% for start-up companies certified by NIFCA for the first three years and 20% for the succeeding four years.</w:t>
            </w:r>
          </w:p>
          <w:p w14:paraId="042A74F0" w14:textId="77777777" w:rsidR="00B96F36" w:rsidRPr="0051157C" w:rsidRDefault="00B96F36" w:rsidP="00B96F36">
            <w:pPr>
              <w:spacing w:after="120" w:line="254" w:lineRule="auto"/>
              <w:rPr>
                <w:rFonts w:ascii="Aptos" w:hAnsi="Aptos"/>
                <w:b/>
                <w:bCs/>
                <w:color w:val="92D050"/>
              </w:rPr>
            </w:pPr>
            <w:r w:rsidRPr="0051157C">
              <w:rPr>
                <w:rFonts w:ascii="Aptos" w:hAnsi="Aptos"/>
                <w:b/>
                <w:bCs/>
                <w:color w:val="92D050"/>
              </w:rPr>
              <w:t>Recommendation</w:t>
            </w:r>
          </w:p>
          <w:p w14:paraId="6BD4CA51" w14:textId="77777777" w:rsidR="00B96F36" w:rsidRPr="0051157C" w:rsidRDefault="00B96F36" w:rsidP="00B96F36">
            <w:pPr>
              <w:spacing w:after="120" w:line="254" w:lineRule="auto"/>
              <w:rPr>
                <w:rFonts w:ascii="Aptos" w:hAnsi="Aptos"/>
                <w:i/>
                <w:iCs/>
              </w:rPr>
            </w:pPr>
            <w:r w:rsidRPr="0051157C">
              <w:rPr>
                <w:rFonts w:ascii="Aptos" w:hAnsi="Aptos"/>
                <w:i/>
                <w:iCs/>
              </w:rPr>
              <w:t>We recommend that:</w:t>
            </w:r>
          </w:p>
          <w:p w14:paraId="5D6268EE" w14:textId="571E805D" w:rsidR="00B96F36" w:rsidRPr="0051157C" w:rsidRDefault="00B96F36" w:rsidP="00E9775B">
            <w:pPr>
              <w:pStyle w:val="ListParagraph"/>
              <w:numPr>
                <w:ilvl w:val="0"/>
                <w:numId w:val="8"/>
              </w:numPr>
              <w:spacing w:after="120" w:line="254" w:lineRule="auto"/>
              <w:rPr>
                <w:rFonts w:ascii="Aptos" w:hAnsi="Aptos"/>
                <w:i/>
                <w:iCs/>
              </w:rPr>
            </w:pPr>
            <w:r w:rsidRPr="0051157C">
              <w:rPr>
                <w:rFonts w:ascii="Aptos" w:hAnsi="Aptos"/>
                <w:i/>
                <w:iCs/>
              </w:rPr>
              <w:t xml:space="preserve">the </w:t>
            </w:r>
            <w:r w:rsidR="00BF7D7D" w:rsidRPr="0051157C">
              <w:rPr>
                <w:rFonts w:ascii="Aptos" w:hAnsi="Aptos"/>
                <w:i/>
                <w:iCs/>
              </w:rPr>
              <w:t>conjunction “</w:t>
            </w:r>
            <w:r w:rsidRPr="0051157C">
              <w:rPr>
                <w:rFonts w:ascii="Aptos" w:hAnsi="Aptos"/>
                <w:i/>
                <w:iCs/>
              </w:rPr>
              <w:t>and” appearing in (b) be replaced with “</w:t>
            </w:r>
            <w:r w:rsidR="00BF7D7D" w:rsidRPr="0051157C">
              <w:rPr>
                <w:rFonts w:ascii="Aptos" w:hAnsi="Aptos"/>
                <w:i/>
                <w:iCs/>
              </w:rPr>
              <w:t>or” since</w:t>
            </w:r>
            <w:r w:rsidRPr="0051157C">
              <w:rPr>
                <w:rFonts w:ascii="Aptos" w:hAnsi="Aptos"/>
                <w:i/>
                <w:iCs/>
              </w:rPr>
              <w:t xml:space="preserve"> the two clauses appear to be mutually exclusive. </w:t>
            </w:r>
          </w:p>
          <w:p w14:paraId="236054B2" w14:textId="77777777" w:rsidR="00B96F36" w:rsidRPr="0051157C" w:rsidRDefault="00B96F36" w:rsidP="00B96F36">
            <w:pPr>
              <w:pStyle w:val="ListParagraph"/>
              <w:spacing w:after="120" w:line="254" w:lineRule="auto"/>
              <w:rPr>
                <w:rFonts w:ascii="Aptos" w:hAnsi="Aptos"/>
                <w:i/>
                <w:iCs/>
              </w:rPr>
            </w:pPr>
          </w:p>
          <w:p w14:paraId="24605766" w14:textId="24A8E092" w:rsidR="00BF7D7D" w:rsidRPr="0051157C" w:rsidRDefault="00B96F36" w:rsidP="00E9775B">
            <w:pPr>
              <w:pStyle w:val="ListParagraph"/>
              <w:numPr>
                <w:ilvl w:val="0"/>
                <w:numId w:val="8"/>
              </w:numPr>
              <w:spacing w:after="120" w:line="254" w:lineRule="auto"/>
              <w:rPr>
                <w:rFonts w:ascii="Aptos" w:hAnsi="Aptos"/>
                <w:i/>
                <w:iCs/>
              </w:rPr>
            </w:pPr>
            <w:r w:rsidRPr="0051157C">
              <w:rPr>
                <w:rFonts w:ascii="Aptos" w:hAnsi="Aptos"/>
                <w:i/>
                <w:iCs/>
              </w:rPr>
              <w:t xml:space="preserve">the </w:t>
            </w:r>
            <w:r w:rsidR="00BF7D7D" w:rsidRPr="0051157C">
              <w:rPr>
                <w:rFonts w:ascii="Aptos" w:hAnsi="Aptos"/>
                <w:i/>
                <w:iCs/>
              </w:rPr>
              <w:t>wording “</w:t>
            </w:r>
            <w:r w:rsidRPr="0051157C">
              <w:rPr>
                <w:rFonts w:ascii="Aptos" w:hAnsi="Aptos"/>
                <w:i/>
                <w:iCs/>
              </w:rPr>
              <w:t xml:space="preserve">startup </w:t>
            </w:r>
            <w:r w:rsidR="00BF7D7D" w:rsidRPr="0051157C">
              <w:rPr>
                <w:rFonts w:ascii="Aptos" w:hAnsi="Aptos"/>
                <w:i/>
                <w:iCs/>
              </w:rPr>
              <w:t>companies” be</w:t>
            </w:r>
            <w:r w:rsidRPr="0051157C">
              <w:rPr>
                <w:rFonts w:ascii="Aptos" w:hAnsi="Aptos"/>
                <w:i/>
                <w:iCs/>
              </w:rPr>
              <w:t xml:space="preserve"> “replaced with any other company certified by NIFCA”</w:t>
            </w:r>
          </w:p>
          <w:p w14:paraId="1F05BC19" w14:textId="77777777" w:rsidR="00BF7D7D" w:rsidRPr="0051157C" w:rsidRDefault="00BF7D7D" w:rsidP="00BF7D7D">
            <w:pPr>
              <w:pStyle w:val="ListParagraph"/>
              <w:rPr>
                <w:rFonts w:ascii="Aptos" w:hAnsi="Aptos"/>
              </w:rPr>
            </w:pPr>
          </w:p>
          <w:p w14:paraId="7F07D7BF" w14:textId="1885855A" w:rsidR="00B96F36" w:rsidRPr="0051157C" w:rsidRDefault="00B96F36" w:rsidP="00E9775B">
            <w:pPr>
              <w:pStyle w:val="ListParagraph"/>
              <w:numPr>
                <w:ilvl w:val="0"/>
                <w:numId w:val="8"/>
              </w:numPr>
              <w:spacing w:after="120" w:line="254" w:lineRule="auto"/>
              <w:rPr>
                <w:rFonts w:ascii="Aptos" w:hAnsi="Aptos"/>
                <w:i/>
                <w:iCs/>
              </w:rPr>
            </w:pPr>
            <w:r w:rsidRPr="0051157C">
              <w:rPr>
                <w:rFonts w:ascii="Aptos" w:hAnsi="Aptos"/>
                <w:i/>
                <w:iCs/>
              </w:rPr>
              <w:t xml:space="preserve">a proviso to indicate that any company </w:t>
            </w:r>
            <w:r w:rsidR="00BF7D7D" w:rsidRPr="0051157C">
              <w:rPr>
                <w:rFonts w:ascii="Aptos" w:hAnsi="Aptos"/>
                <w:i/>
                <w:iCs/>
              </w:rPr>
              <w:t>that qualify</w:t>
            </w:r>
            <w:r w:rsidRPr="0051157C">
              <w:rPr>
                <w:rFonts w:ascii="Aptos" w:hAnsi="Aptos"/>
                <w:i/>
                <w:iCs/>
              </w:rPr>
              <w:t xml:space="preserve"> for benefits under this subjection shall continue to apply the rates therein for the </w:t>
            </w:r>
            <w:r w:rsidR="00BF7D7D" w:rsidRPr="0051157C">
              <w:rPr>
                <w:rFonts w:ascii="Aptos" w:hAnsi="Aptos"/>
                <w:i/>
                <w:iCs/>
              </w:rPr>
              <w:t>years indicated</w:t>
            </w:r>
            <w:r w:rsidRPr="0051157C">
              <w:rPr>
                <w:rFonts w:ascii="Aptos" w:hAnsi="Aptos"/>
                <w:i/>
                <w:iCs/>
              </w:rPr>
              <w:t xml:space="preserve"> in the event of repeal of the subsections.</w:t>
            </w:r>
          </w:p>
        </w:tc>
        <w:tc>
          <w:tcPr>
            <w:tcW w:w="4334" w:type="dxa"/>
          </w:tcPr>
          <w:p w14:paraId="374E1D11" w14:textId="77777777" w:rsidR="00B96F36" w:rsidRPr="0051157C" w:rsidRDefault="00B96F36" w:rsidP="00B96F36">
            <w:pPr>
              <w:spacing w:line="254" w:lineRule="auto"/>
              <w:rPr>
                <w:rFonts w:ascii="Aptos" w:eastAsia="Calibri Light" w:hAnsi="Aptos" w:cstheme="minorHAnsi"/>
              </w:rPr>
            </w:pPr>
            <w:r w:rsidRPr="0051157C">
              <w:rPr>
                <w:rFonts w:ascii="Aptos" w:eastAsia="Calibri Light" w:hAnsi="Aptos" w:cstheme="minorHAnsi"/>
              </w:rPr>
              <w:lastRenderedPageBreak/>
              <w:t xml:space="preserve"> In our view the two clauses are mutually exclusive and therefore the drafting of the Bill could be an error. Our recommendation is therefore to align the two clauses and provide clarity.</w:t>
            </w:r>
          </w:p>
          <w:p w14:paraId="4ABDDA2F" w14:textId="77777777" w:rsidR="00B96F36" w:rsidRPr="0051157C" w:rsidRDefault="00B96F36" w:rsidP="00B96F36">
            <w:pPr>
              <w:spacing w:line="254" w:lineRule="auto"/>
              <w:rPr>
                <w:rFonts w:ascii="Aptos" w:eastAsia="Calibri Light" w:hAnsi="Aptos" w:cstheme="minorHAnsi"/>
              </w:rPr>
            </w:pPr>
          </w:p>
          <w:p w14:paraId="70682213" w14:textId="7707C926" w:rsidR="00B96F36" w:rsidRPr="0051157C" w:rsidRDefault="00B96F36" w:rsidP="00B96F36">
            <w:pPr>
              <w:spacing w:line="254" w:lineRule="auto"/>
              <w:rPr>
                <w:rFonts w:ascii="Aptos" w:eastAsia="Calibri Light" w:hAnsi="Aptos" w:cstheme="minorHAnsi"/>
              </w:rPr>
            </w:pPr>
            <w:r w:rsidRPr="0051157C">
              <w:rPr>
                <w:rFonts w:ascii="Aptos" w:eastAsia="Calibri Light" w:hAnsi="Aptos" w:cstheme="minorHAnsi"/>
              </w:rPr>
              <w:t xml:space="preserve">We are of the view that </w:t>
            </w:r>
            <w:r w:rsidR="00BF7D7D" w:rsidRPr="0051157C">
              <w:rPr>
                <w:rFonts w:ascii="Aptos" w:eastAsia="Calibri Light" w:hAnsi="Aptos" w:cstheme="minorHAnsi"/>
              </w:rPr>
              <w:t>restricting the</w:t>
            </w:r>
            <w:r w:rsidRPr="0051157C">
              <w:rPr>
                <w:rFonts w:ascii="Aptos" w:eastAsia="Calibri Light" w:hAnsi="Aptos" w:cstheme="minorHAnsi"/>
              </w:rPr>
              <w:t xml:space="preserve"> preferential tax rate  to startup companies will lock out any other entities registered by NIFCA from benefiting from this incentive which may directly hamper investments that </w:t>
            </w:r>
            <w:r w:rsidR="00191EC9" w:rsidRPr="0051157C">
              <w:rPr>
                <w:rFonts w:ascii="Aptos" w:eastAsia="Calibri Light" w:hAnsi="Aptos" w:cstheme="minorHAnsi"/>
              </w:rPr>
              <w:t>would contribute</w:t>
            </w:r>
            <w:r w:rsidRPr="0051157C">
              <w:rPr>
                <w:rFonts w:ascii="Aptos" w:eastAsia="Calibri Light" w:hAnsi="Aptos" w:cstheme="minorHAnsi"/>
              </w:rPr>
              <w:t xml:space="preserve"> to the overall economic growth of the country.</w:t>
            </w:r>
          </w:p>
          <w:p w14:paraId="6AECA409" w14:textId="4DC787D2" w:rsidR="00B96F36" w:rsidRPr="0051157C" w:rsidRDefault="00B96F36" w:rsidP="00B96F36">
            <w:pPr>
              <w:jc w:val="both"/>
              <w:rPr>
                <w:rFonts w:ascii="Aptos" w:hAnsi="Aptos" w:cstheme="majorHAnsi"/>
                <w:bCs/>
              </w:rPr>
            </w:pPr>
            <w:r w:rsidRPr="0051157C">
              <w:rPr>
                <w:rFonts w:ascii="Aptos" w:eastAsia="Calibri Light" w:hAnsi="Aptos" w:cstheme="minorHAnsi"/>
              </w:rPr>
              <w:lastRenderedPageBreak/>
              <w:t xml:space="preserve">Given the magnitude of the cash </w:t>
            </w:r>
            <w:r w:rsidR="00BF7D7D" w:rsidRPr="0051157C">
              <w:rPr>
                <w:rFonts w:ascii="Aptos" w:eastAsia="Calibri Light" w:hAnsi="Aptos" w:cstheme="minorHAnsi"/>
              </w:rPr>
              <w:t>outlay required</w:t>
            </w:r>
            <w:r w:rsidRPr="0051157C">
              <w:rPr>
                <w:rFonts w:ascii="Aptos" w:eastAsia="Calibri Light" w:hAnsi="Aptos" w:cstheme="minorHAnsi"/>
              </w:rPr>
              <w:t xml:space="preserve"> to qualify for this incentive, it is necessary to assure the would-be investors of predictability of the tax regime in the event of repeal of the subsection before the lapse of the 20 years/ 7 years term prescribed in the law</w:t>
            </w:r>
          </w:p>
        </w:tc>
      </w:tr>
      <w:tr w:rsidR="00627D45" w:rsidRPr="0051157C" w14:paraId="19065FAF" w14:textId="77777777" w:rsidTr="009A3429">
        <w:tc>
          <w:tcPr>
            <w:tcW w:w="535" w:type="dxa"/>
          </w:tcPr>
          <w:p w14:paraId="1058C72A" w14:textId="2706F3AC" w:rsidR="00627D45" w:rsidRPr="0051157C" w:rsidRDefault="00627D45" w:rsidP="00627D45">
            <w:pPr>
              <w:jc w:val="both"/>
              <w:rPr>
                <w:rFonts w:ascii="Aptos" w:hAnsi="Aptos" w:cstheme="minorHAnsi"/>
                <w:b/>
              </w:rPr>
            </w:pPr>
            <w:r w:rsidRPr="0051157C">
              <w:rPr>
                <w:rFonts w:ascii="Aptos" w:hAnsi="Aptos" w:cstheme="minorHAnsi"/>
                <w:b/>
                <w:bCs/>
              </w:rPr>
              <w:lastRenderedPageBreak/>
              <w:t>4.</w:t>
            </w:r>
          </w:p>
        </w:tc>
        <w:tc>
          <w:tcPr>
            <w:tcW w:w="1949" w:type="dxa"/>
          </w:tcPr>
          <w:p w14:paraId="50BEE4ED" w14:textId="77777777" w:rsidR="00627D45" w:rsidRPr="0051157C" w:rsidRDefault="00627D45" w:rsidP="00627D45">
            <w:pPr>
              <w:rPr>
                <w:rFonts w:ascii="Aptos" w:eastAsiaTheme="minorEastAsia" w:hAnsi="Aptos" w:cstheme="minorHAnsi"/>
                <w:b/>
                <w:bCs/>
              </w:rPr>
            </w:pPr>
            <w:r w:rsidRPr="0051157C">
              <w:rPr>
                <w:rFonts w:ascii="Aptos" w:eastAsiaTheme="minorEastAsia" w:hAnsi="Aptos" w:cstheme="minorHAnsi"/>
                <w:b/>
                <w:bCs/>
              </w:rPr>
              <w:t>Clause 27 (a) &amp;(b)</w:t>
            </w:r>
          </w:p>
          <w:p w14:paraId="466130F6" w14:textId="77777777" w:rsidR="00627D45" w:rsidRPr="0051157C" w:rsidRDefault="00627D45" w:rsidP="00627D45">
            <w:pPr>
              <w:rPr>
                <w:rFonts w:ascii="Aptos" w:eastAsiaTheme="minorEastAsia" w:hAnsi="Aptos" w:cstheme="minorHAnsi"/>
                <w:b/>
                <w:bCs/>
              </w:rPr>
            </w:pPr>
            <w:r w:rsidRPr="0051157C">
              <w:rPr>
                <w:rFonts w:ascii="Aptos" w:eastAsiaTheme="minorEastAsia" w:hAnsi="Aptos" w:cstheme="minorHAnsi"/>
                <w:b/>
                <w:bCs/>
              </w:rPr>
              <w:t xml:space="preserve"> </w:t>
            </w:r>
          </w:p>
          <w:p w14:paraId="38DD3F2B" w14:textId="19A0378B" w:rsidR="00627D45" w:rsidRPr="0051157C" w:rsidRDefault="00627D45" w:rsidP="00627D45">
            <w:pPr>
              <w:jc w:val="both"/>
              <w:rPr>
                <w:rFonts w:ascii="Aptos" w:hAnsi="Aptos" w:cstheme="minorHAnsi"/>
                <w:b/>
              </w:rPr>
            </w:pPr>
            <w:r w:rsidRPr="0051157C">
              <w:rPr>
                <w:rFonts w:ascii="Aptos" w:hAnsi="Aptos"/>
                <w:b/>
                <w:bCs/>
              </w:rPr>
              <w:t>Repeal of the accelerated investment allowances</w:t>
            </w:r>
          </w:p>
        </w:tc>
        <w:tc>
          <w:tcPr>
            <w:tcW w:w="7636" w:type="dxa"/>
          </w:tcPr>
          <w:p w14:paraId="327F91BC" w14:textId="45DE0D56" w:rsidR="00627D45" w:rsidRPr="0051157C" w:rsidRDefault="00627D45" w:rsidP="00627D45">
            <w:pPr>
              <w:spacing w:after="120" w:line="254" w:lineRule="auto"/>
              <w:rPr>
                <w:rFonts w:ascii="Aptos" w:hAnsi="Aptos"/>
              </w:rPr>
            </w:pPr>
            <w:r w:rsidRPr="0051157C">
              <w:rPr>
                <w:rFonts w:ascii="Aptos" w:hAnsi="Aptos"/>
              </w:rPr>
              <w:t xml:space="preserve">The Bill proposes to repeal Paragraphs 1A and 1B of the ITA’s Second Schedule, which provide for </w:t>
            </w:r>
            <w:r w:rsidR="00191EC9" w:rsidRPr="0051157C">
              <w:rPr>
                <w:rFonts w:ascii="Aptos" w:hAnsi="Aptos"/>
              </w:rPr>
              <w:t>accelerated</w:t>
            </w:r>
            <w:r w:rsidRPr="0051157C">
              <w:rPr>
                <w:rFonts w:ascii="Aptos" w:hAnsi="Aptos"/>
              </w:rPr>
              <w:t xml:space="preserve"> investment allowance in the year of first use where :</w:t>
            </w:r>
          </w:p>
          <w:p w14:paraId="6306A2A6" w14:textId="77777777" w:rsidR="00627D45" w:rsidRPr="0051157C" w:rsidRDefault="00627D45" w:rsidP="00E9775B">
            <w:pPr>
              <w:pStyle w:val="ListParagraph"/>
              <w:numPr>
                <w:ilvl w:val="0"/>
                <w:numId w:val="9"/>
              </w:numPr>
              <w:spacing w:after="120" w:line="254" w:lineRule="auto"/>
              <w:rPr>
                <w:rFonts w:ascii="Aptos" w:hAnsi="Aptos"/>
              </w:rPr>
            </w:pPr>
            <w:r w:rsidRPr="0051157C">
              <w:rPr>
                <w:rFonts w:ascii="Aptos" w:hAnsi="Aptos"/>
              </w:rPr>
              <w:t xml:space="preserve">The investment value outside Nairobi and Mombasa counties is at least KES 1 billion in the preceding three years of income; </w:t>
            </w:r>
          </w:p>
          <w:p w14:paraId="109AB3D7" w14:textId="77777777" w:rsidR="00627D45" w:rsidRPr="0051157C" w:rsidRDefault="00627D45" w:rsidP="00E9775B">
            <w:pPr>
              <w:pStyle w:val="ListParagraph"/>
              <w:numPr>
                <w:ilvl w:val="0"/>
                <w:numId w:val="9"/>
              </w:numPr>
              <w:spacing w:after="120" w:line="254" w:lineRule="auto"/>
              <w:rPr>
                <w:rFonts w:ascii="Aptos" w:hAnsi="Aptos"/>
              </w:rPr>
            </w:pPr>
            <w:r w:rsidRPr="0051157C">
              <w:rPr>
                <w:rFonts w:ascii="Aptos" w:hAnsi="Aptos"/>
              </w:rPr>
              <w:t xml:space="preserve">The investment value outside Nairobi and Mombasa counties is at least KES 250 million in the year of income under consideration; or </w:t>
            </w:r>
          </w:p>
          <w:p w14:paraId="19F20A69" w14:textId="77777777" w:rsidR="00627D45" w:rsidRPr="0051157C" w:rsidRDefault="00627D45" w:rsidP="00E9775B">
            <w:pPr>
              <w:pStyle w:val="ListParagraph"/>
              <w:numPr>
                <w:ilvl w:val="0"/>
                <w:numId w:val="9"/>
              </w:numPr>
              <w:spacing w:after="120" w:line="254" w:lineRule="auto"/>
              <w:rPr>
                <w:rFonts w:ascii="Aptos" w:hAnsi="Aptos"/>
              </w:rPr>
            </w:pPr>
            <w:r w:rsidRPr="0051157C">
              <w:rPr>
                <w:rFonts w:ascii="Aptos" w:hAnsi="Aptos"/>
              </w:rPr>
              <w:t xml:space="preserve">The investment is incurred in a special economic zone (“SEZ”). </w:t>
            </w:r>
          </w:p>
          <w:p w14:paraId="758626AC" w14:textId="77777777" w:rsidR="00627D45" w:rsidRPr="0051157C" w:rsidRDefault="00627D45" w:rsidP="00627D45">
            <w:pPr>
              <w:spacing w:after="120" w:line="254" w:lineRule="auto"/>
              <w:rPr>
                <w:rFonts w:ascii="Aptos" w:hAnsi="Aptos"/>
                <w:b/>
                <w:bCs/>
                <w:color w:val="92D050"/>
              </w:rPr>
            </w:pPr>
            <w:r w:rsidRPr="0051157C">
              <w:rPr>
                <w:rFonts w:ascii="Aptos" w:hAnsi="Aptos"/>
                <w:b/>
                <w:bCs/>
                <w:color w:val="92D050"/>
              </w:rPr>
              <w:t>Recommendation</w:t>
            </w:r>
          </w:p>
          <w:p w14:paraId="36868E18" w14:textId="22C76FA1" w:rsidR="00627D45" w:rsidRPr="0051157C" w:rsidRDefault="00627D45" w:rsidP="00627D45">
            <w:pPr>
              <w:spacing w:after="120" w:line="254" w:lineRule="auto"/>
              <w:rPr>
                <w:rFonts w:ascii="Aptos" w:hAnsi="Aptos"/>
                <w:i/>
                <w:iCs/>
              </w:rPr>
            </w:pPr>
            <w:r w:rsidRPr="0051157C">
              <w:rPr>
                <w:rFonts w:ascii="Aptos" w:hAnsi="Aptos"/>
                <w:i/>
                <w:iCs/>
              </w:rPr>
              <w:t>We recommend that this proposal</w:t>
            </w:r>
            <w:r w:rsidR="00FF2D25" w:rsidRPr="0051157C">
              <w:rPr>
                <w:rFonts w:ascii="Aptos" w:hAnsi="Aptos"/>
                <w:i/>
                <w:iCs/>
              </w:rPr>
              <w:t>:</w:t>
            </w:r>
            <w:r w:rsidRPr="0051157C">
              <w:rPr>
                <w:rFonts w:ascii="Aptos" w:hAnsi="Aptos"/>
                <w:i/>
                <w:iCs/>
              </w:rPr>
              <w:t xml:space="preserve">  </w:t>
            </w:r>
          </w:p>
          <w:p w14:paraId="63060110" w14:textId="77777777" w:rsidR="00627D45" w:rsidRPr="0051157C" w:rsidRDefault="00627D45" w:rsidP="00E9775B">
            <w:pPr>
              <w:pStyle w:val="ListParagraph"/>
              <w:numPr>
                <w:ilvl w:val="0"/>
                <w:numId w:val="10"/>
              </w:numPr>
              <w:spacing w:after="120" w:line="254" w:lineRule="auto"/>
              <w:rPr>
                <w:rFonts w:ascii="Aptos" w:hAnsi="Aptos"/>
                <w:i/>
                <w:iCs/>
              </w:rPr>
            </w:pPr>
            <w:r w:rsidRPr="0051157C">
              <w:rPr>
                <w:rFonts w:ascii="Aptos" w:hAnsi="Aptos"/>
                <w:i/>
                <w:iCs/>
              </w:rPr>
              <w:t xml:space="preserve">be amended to the effect that the accelerated investment allowance for a special economic zone (“SEZ”) is retained in the Income Tax Act. </w:t>
            </w:r>
          </w:p>
          <w:p w14:paraId="7863B48D" w14:textId="77777777" w:rsidR="00627D45" w:rsidRPr="0051157C" w:rsidRDefault="00627D45" w:rsidP="00627D45">
            <w:pPr>
              <w:pStyle w:val="ListParagraph"/>
              <w:spacing w:after="120" w:line="254" w:lineRule="auto"/>
              <w:rPr>
                <w:rFonts w:ascii="Aptos" w:hAnsi="Aptos"/>
                <w:i/>
                <w:iCs/>
              </w:rPr>
            </w:pPr>
          </w:p>
          <w:p w14:paraId="24127B16" w14:textId="00BCA27B" w:rsidR="00627D45" w:rsidRPr="0051157C" w:rsidRDefault="00627D45" w:rsidP="00E9775B">
            <w:pPr>
              <w:pStyle w:val="ListParagraph"/>
              <w:numPr>
                <w:ilvl w:val="0"/>
                <w:numId w:val="10"/>
              </w:numPr>
              <w:spacing w:after="120" w:line="254" w:lineRule="auto"/>
              <w:rPr>
                <w:rFonts w:ascii="Aptos" w:hAnsi="Aptos"/>
                <w:i/>
                <w:iCs/>
              </w:rPr>
            </w:pPr>
            <w:r w:rsidRPr="0051157C">
              <w:rPr>
                <w:rFonts w:ascii="Aptos" w:hAnsi="Aptos"/>
                <w:i/>
                <w:iCs/>
              </w:rPr>
              <w:lastRenderedPageBreak/>
              <w:t>We recommend that a transition clause be introduced as follows in relation to investment in the manufacturing activities and investment in hotel buildings:-</w:t>
            </w:r>
          </w:p>
          <w:p w14:paraId="7408CA30" w14:textId="4A404146" w:rsidR="00627D45" w:rsidRPr="0051157C" w:rsidRDefault="00627D45" w:rsidP="00627D45">
            <w:pPr>
              <w:spacing w:after="120" w:line="254" w:lineRule="auto"/>
              <w:rPr>
                <w:rFonts w:ascii="Aptos" w:hAnsi="Aptos"/>
                <w:i/>
                <w:iCs/>
              </w:rPr>
            </w:pPr>
            <w:r w:rsidRPr="0051157C">
              <w:rPr>
                <w:rFonts w:ascii="Aptos" w:hAnsi="Aptos"/>
                <w:i/>
                <w:iCs/>
              </w:rPr>
              <w:t xml:space="preserve">“Provided that where the cumulative value of investment for the preceding three years was over 1 Billion on or before </w:t>
            </w:r>
            <w:r w:rsidR="001F5F89">
              <w:rPr>
                <w:rFonts w:ascii="Aptos" w:hAnsi="Aptos"/>
                <w:i/>
                <w:iCs/>
              </w:rPr>
              <w:t>3</w:t>
            </w:r>
            <w:r w:rsidRPr="0051157C">
              <w:rPr>
                <w:rFonts w:ascii="Aptos" w:hAnsi="Aptos"/>
                <w:i/>
                <w:iCs/>
              </w:rPr>
              <w:t>1</w:t>
            </w:r>
            <w:r w:rsidRPr="0051157C">
              <w:rPr>
                <w:rFonts w:ascii="Aptos" w:hAnsi="Aptos"/>
                <w:i/>
                <w:iCs/>
                <w:vertAlign w:val="superscript"/>
              </w:rPr>
              <w:t>st</w:t>
            </w:r>
            <w:r w:rsidRPr="0051157C">
              <w:rPr>
                <w:rFonts w:ascii="Aptos" w:hAnsi="Aptos"/>
                <w:i/>
                <w:iCs/>
              </w:rPr>
              <w:t xml:space="preserve"> </w:t>
            </w:r>
            <w:r w:rsidR="001F5F89">
              <w:rPr>
                <w:rFonts w:ascii="Aptos" w:hAnsi="Aptos"/>
                <w:i/>
                <w:iCs/>
              </w:rPr>
              <w:t>December</w:t>
            </w:r>
            <w:r w:rsidR="001F5F89" w:rsidRPr="0051157C">
              <w:rPr>
                <w:rFonts w:ascii="Aptos" w:hAnsi="Aptos"/>
                <w:i/>
                <w:iCs/>
              </w:rPr>
              <w:t xml:space="preserve"> </w:t>
            </w:r>
            <w:r w:rsidRPr="0051157C">
              <w:rPr>
                <w:rFonts w:ascii="Aptos" w:hAnsi="Aptos"/>
                <w:i/>
                <w:iCs/>
              </w:rPr>
              <w:t xml:space="preserve">2025 or investment was over 250 million in a year of income on or before </w:t>
            </w:r>
            <w:r w:rsidR="001F5F89">
              <w:rPr>
                <w:rFonts w:ascii="Aptos" w:hAnsi="Aptos"/>
                <w:i/>
                <w:iCs/>
              </w:rPr>
              <w:t>3</w:t>
            </w:r>
            <w:r w:rsidRPr="0051157C">
              <w:rPr>
                <w:rFonts w:ascii="Aptos" w:hAnsi="Aptos"/>
                <w:i/>
                <w:iCs/>
              </w:rPr>
              <w:t>1</w:t>
            </w:r>
            <w:r w:rsidRPr="0051157C">
              <w:rPr>
                <w:rFonts w:ascii="Aptos" w:hAnsi="Aptos"/>
                <w:i/>
                <w:iCs/>
                <w:vertAlign w:val="superscript"/>
              </w:rPr>
              <w:t>st</w:t>
            </w:r>
            <w:r w:rsidRPr="0051157C">
              <w:rPr>
                <w:rFonts w:ascii="Aptos" w:hAnsi="Aptos"/>
                <w:i/>
                <w:iCs/>
              </w:rPr>
              <w:t xml:space="preserve"> </w:t>
            </w:r>
            <w:r w:rsidR="001F5F89">
              <w:rPr>
                <w:rFonts w:ascii="Aptos" w:hAnsi="Aptos"/>
                <w:i/>
                <w:iCs/>
              </w:rPr>
              <w:t>December</w:t>
            </w:r>
            <w:r w:rsidRPr="0051157C">
              <w:rPr>
                <w:rFonts w:ascii="Aptos" w:hAnsi="Aptos"/>
                <w:i/>
                <w:iCs/>
              </w:rPr>
              <w:t xml:space="preserve"> 2025 and the investment is outside Nairobi City County and Mombasa County, the investment deduction rate of one hundred percent shall be continue to apply</w:t>
            </w:r>
          </w:p>
          <w:p w14:paraId="1ACD3535" w14:textId="1041936B" w:rsidR="00627D45" w:rsidRPr="0051157C" w:rsidRDefault="00627D45" w:rsidP="00627D45">
            <w:pPr>
              <w:jc w:val="both"/>
              <w:rPr>
                <w:rFonts w:ascii="Aptos" w:hAnsi="Aptos" w:cstheme="majorHAnsi"/>
                <w:bCs/>
              </w:rPr>
            </w:pPr>
            <w:r w:rsidRPr="0051157C">
              <w:rPr>
                <w:rFonts w:ascii="Aptos" w:hAnsi="Aptos"/>
                <w:i/>
                <w:iCs/>
              </w:rPr>
              <w:t xml:space="preserve"> </w:t>
            </w:r>
          </w:p>
        </w:tc>
        <w:tc>
          <w:tcPr>
            <w:tcW w:w="4334" w:type="dxa"/>
          </w:tcPr>
          <w:p w14:paraId="13DA4EF8" w14:textId="1E14FC70" w:rsidR="00627D45" w:rsidRPr="0051157C" w:rsidRDefault="00627D45" w:rsidP="00627D45">
            <w:pPr>
              <w:spacing w:line="254" w:lineRule="auto"/>
              <w:rPr>
                <w:rFonts w:ascii="Aptos" w:eastAsia="Calibri Light" w:hAnsi="Aptos" w:cstheme="minorHAnsi"/>
              </w:rPr>
            </w:pPr>
            <w:r w:rsidRPr="0051157C">
              <w:rPr>
                <w:rFonts w:ascii="Aptos" w:eastAsia="Calibri Light" w:hAnsi="Aptos" w:cstheme="minorHAnsi"/>
              </w:rPr>
              <w:lastRenderedPageBreak/>
              <w:t xml:space="preserve">The proposal may negatively affect capital investments outside of Nairobi and Mombasa counties, which may have been undertaken in anticipation of recovering the cost in the first year from a tax perspective. </w:t>
            </w:r>
          </w:p>
          <w:p w14:paraId="39144D32" w14:textId="77777777" w:rsidR="00627D45" w:rsidRPr="0051157C" w:rsidRDefault="00627D45" w:rsidP="00627D45">
            <w:pPr>
              <w:spacing w:line="254" w:lineRule="auto"/>
              <w:rPr>
                <w:rFonts w:ascii="Aptos" w:eastAsia="Calibri Light" w:hAnsi="Aptos" w:cstheme="minorHAnsi"/>
              </w:rPr>
            </w:pPr>
          </w:p>
          <w:p w14:paraId="5AE24D7B" w14:textId="77777777" w:rsidR="00627D45" w:rsidRPr="0051157C" w:rsidRDefault="00627D45" w:rsidP="00627D45">
            <w:pPr>
              <w:spacing w:line="254" w:lineRule="auto"/>
              <w:rPr>
                <w:rFonts w:ascii="Aptos" w:eastAsia="Calibri Light" w:hAnsi="Aptos" w:cstheme="minorHAnsi"/>
              </w:rPr>
            </w:pPr>
            <w:r w:rsidRPr="0051157C">
              <w:rPr>
                <w:rFonts w:ascii="Aptos" w:eastAsia="Calibri Light" w:hAnsi="Aptos" w:cstheme="minorHAnsi"/>
              </w:rPr>
              <w:t xml:space="preserve">The proposal may also adversely impact ongoing and prospective capital influx into the SEZ, which has recently been actively promoted by the government as a preferable investment destination. </w:t>
            </w:r>
          </w:p>
          <w:p w14:paraId="36C34B1D" w14:textId="77777777" w:rsidR="00627D45" w:rsidRPr="0051157C" w:rsidRDefault="00627D45" w:rsidP="00627D45">
            <w:pPr>
              <w:spacing w:line="254" w:lineRule="auto"/>
              <w:rPr>
                <w:rFonts w:ascii="Aptos" w:eastAsia="Calibri Light" w:hAnsi="Aptos" w:cstheme="minorHAnsi"/>
              </w:rPr>
            </w:pPr>
          </w:p>
          <w:p w14:paraId="4D7EEAE6" w14:textId="6F2E227C" w:rsidR="00627D45" w:rsidRPr="0051157C" w:rsidRDefault="00627D45" w:rsidP="00627D45">
            <w:pPr>
              <w:jc w:val="both"/>
              <w:rPr>
                <w:rFonts w:ascii="Aptos" w:hAnsi="Aptos" w:cstheme="majorHAnsi"/>
                <w:bCs/>
              </w:rPr>
            </w:pPr>
            <w:r w:rsidRPr="0051157C">
              <w:rPr>
                <w:rFonts w:ascii="Aptos" w:eastAsia="Calibri Light" w:hAnsi="Aptos" w:cstheme="minorHAnsi"/>
              </w:rPr>
              <w:t xml:space="preserve">These frequent changes are not in tandem with the object of the National Tax Policy and create an unpredictable tax </w:t>
            </w:r>
            <w:r w:rsidRPr="0051157C">
              <w:rPr>
                <w:rFonts w:ascii="Aptos" w:eastAsia="Calibri Light" w:hAnsi="Aptos" w:cstheme="minorHAnsi"/>
              </w:rPr>
              <w:lastRenderedPageBreak/>
              <w:t>environment. The frequent changes serve as a disincentive for investment in critical sector of the economy being the manufacturing sector. The manufacturing sector plays a significant role in job creation, value addition of raw materials sourced locally and increase in exports thereby reducing the balance of trade.</w:t>
            </w:r>
          </w:p>
        </w:tc>
      </w:tr>
      <w:tr w:rsidR="004579EA" w:rsidRPr="0051157C" w14:paraId="4453F85C" w14:textId="77777777" w:rsidTr="009A3429">
        <w:tc>
          <w:tcPr>
            <w:tcW w:w="535" w:type="dxa"/>
          </w:tcPr>
          <w:p w14:paraId="52697A0F" w14:textId="45825D1E" w:rsidR="004579EA" w:rsidRPr="0051157C" w:rsidRDefault="004579EA" w:rsidP="004579EA">
            <w:pPr>
              <w:jc w:val="both"/>
              <w:rPr>
                <w:rFonts w:ascii="Aptos" w:hAnsi="Aptos" w:cstheme="minorHAnsi"/>
                <w:b/>
              </w:rPr>
            </w:pPr>
            <w:r w:rsidRPr="0051157C">
              <w:rPr>
                <w:rFonts w:ascii="Aptos" w:hAnsi="Aptos" w:cstheme="minorHAnsi"/>
                <w:b/>
              </w:rPr>
              <w:lastRenderedPageBreak/>
              <w:t>5.</w:t>
            </w:r>
          </w:p>
        </w:tc>
        <w:tc>
          <w:tcPr>
            <w:tcW w:w="1949" w:type="dxa"/>
          </w:tcPr>
          <w:p w14:paraId="23D625FF" w14:textId="77777777" w:rsidR="004579EA" w:rsidRPr="0051157C" w:rsidRDefault="004579EA" w:rsidP="004579EA">
            <w:pPr>
              <w:rPr>
                <w:rFonts w:ascii="Aptos" w:eastAsiaTheme="minorEastAsia" w:hAnsi="Aptos" w:cstheme="minorHAnsi"/>
                <w:b/>
                <w:bCs/>
              </w:rPr>
            </w:pPr>
            <w:r w:rsidRPr="0051157C">
              <w:rPr>
                <w:rFonts w:ascii="Aptos" w:eastAsiaTheme="minorEastAsia" w:hAnsi="Aptos" w:cstheme="minorHAnsi"/>
                <w:b/>
                <w:bCs/>
              </w:rPr>
              <w:t>Clause 28 (b) (ii &amp; iii)</w:t>
            </w:r>
          </w:p>
          <w:p w14:paraId="697C5D82" w14:textId="77777777" w:rsidR="004579EA" w:rsidRPr="0051157C" w:rsidRDefault="004579EA" w:rsidP="004579EA">
            <w:pPr>
              <w:rPr>
                <w:rFonts w:ascii="Aptos" w:eastAsiaTheme="minorEastAsia" w:hAnsi="Aptos" w:cstheme="minorHAnsi"/>
                <w:b/>
                <w:bCs/>
              </w:rPr>
            </w:pPr>
          </w:p>
          <w:p w14:paraId="337C7E9F" w14:textId="631C3511" w:rsidR="004579EA" w:rsidRPr="0051157C" w:rsidRDefault="004579EA" w:rsidP="004579EA">
            <w:pPr>
              <w:jc w:val="both"/>
              <w:rPr>
                <w:rFonts w:ascii="Aptos" w:hAnsi="Aptos" w:cstheme="minorHAnsi"/>
                <w:b/>
              </w:rPr>
            </w:pPr>
            <w:r w:rsidRPr="0051157C">
              <w:rPr>
                <w:rFonts w:ascii="Aptos" w:hAnsi="Aptos"/>
                <w:b/>
                <w:bCs/>
              </w:rPr>
              <w:t>Repeal of preferential tax rates</w:t>
            </w:r>
          </w:p>
        </w:tc>
        <w:tc>
          <w:tcPr>
            <w:tcW w:w="7636" w:type="dxa"/>
          </w:tcPr>
          <w:p w14:paraId="36839320" w14:textId="77777777" w:rsidR="004579EA" w:rsidRPr="0051157C" w:rsidRDefault="004579EA" w:rsidP="004579EA">
            <w:pPr>
              <w:spacing w:after="120" w:line="254" w:lineRule="auto"/>
              <w:rPr>
                <w:rFonts w:ascii="Aptos" w:hAnsi="Aptos"/>
              </w:rPr>
            </w:pPr>
            <w:r w:rsidRPr="0051157C">
              <w:rPr>
                <w:rFonts w:ascii="Aptos" w:hAnsi="Aptos"/>
              </w:rPr>
              <w:t xml:space="preserve">The Bill seeks to amend the Third Schedule to the ITA to repeal the preferential tax rate of 15% applicable to: </w:t>
            </w:r>
          </w:p>
          <w:p w14:paraId="70B014A1" w14:textId="77777777" w:rsidR="004579EA" w:rsidRPr="0051157C" w:rsidRDefault="004579EA" w:rsidP="004579EA">
            <w:pPr>
              <w:spacing w:after="120" w:line="254" w:lineRule="auto"/>
              <w:rPr>
                <w:rFonts w:ascii="Aptos" w:hAnsi="Aptos"/>
              </w:rPr>
            </w:pPr>
            <w:r w:rsidRPr="0051157C">
              <w:rPr>
                <w:rFonts w:ascii="Aptos" w:hAnsi="Aptos"/>
              </w:rPr>
              <w:t xml:space="preserve">- Companies engaged in construction of at least 100 residential units in a year; and </w:t>
            </w:r>
          </w:p>
          <w:p w14:paraId="4ED66F03" w14:textId="77777777" w:rsidR="004579EA" w:rsidRPr="0051157C" w:rsidRDefault="004579EA" w:rsidP="004579EA">
            <w:pPr>
              <w:jc w:val="both"/>
              <w:rPr>
                <w:rFonts w:ascii="Aptos" w:hAnsi="Aptos"/>
              </w:rPr>
            </w:pPr>
            <w:r w:rsidRPr="0051157C">
              <w:rPr>
                <w:rFonts w:ascii="Aptos" w:hAnsi="Aptos"/>
              </w:rPr>
              <w:t>- Businesses engaged in the local assembly of motor vehicles.</w:t>
            </w:r>
          </w:p>
          <w:p w14:paraId="6E9A8AC5" w14:textId="77777777" w:rsidR="004579EA" w:rsidRPr="0051157C" w:rsidRDefault="004579EA" w:rsidP="004579EA">
            <w:pPr>
              <w:jc w:val="both"/>
              <w:rPr>
                <w:rFonts w:ascii="Aptos" w:hAnsi="Aptos" w:cstheme="majorHAnsi"/>
                <w:bCs/>
              </w:rPr>
            </w:pPr>
          </w:p>
          <w:p w14:paraId="5589BE16" w14:textId="77777777" w:rsidR="008A2F68" w:rsidRPr="0051157C" w:rsidRDefault="008A2F68" w:rsidP="008A2F68">
            <w:pPr>
              <w:spacing w:after="120" w:line="254" w:lineRule="auto"/>
              <w:rPr>
                <w:rFonts w:ascii="Aptos" w:hAnsi="Aptos"/>
                <w:b/>
                <w:bCs/>
                <w:color w:val="92D050"/>
              </w:rPr>
            </w:pPr>
            <w:r w:rsidRPr="0051157C">
              <w:rPr>
                <w:rFonts w:ascii="Aptos" w:hAnsi="Aptos"/>
                <w:b/>
                <w:bCs/>
                <w:color w:val="92D050"/>
              </w:rPr>
              <w:t>Recommendation</w:t>
            </w:r>
          </w:p>
          <w:p w14:paraId="204E3EDE" w14:textId="77777777" w:rsidR="008A2F68" w:rsidRPr="0051157C" w:rsidRDefault="008A2F68" w:rsidP="008A2F68">
            <w:pPr>
              <w:spacing w:after="120" w:line="254" w:lineRule="auto"/>
              <w:rPr>
                <w:rFonts w:ascii="Aptos" w:hAnsi="Aptos"/>
                <w:i/>
                <w:iCs/>
              </w:rPr>
            </w:pPr>
            <w:r w:rsidRPr="0051157C">
              <w:rPr>
                <w:rFonts w:ascii="Aptos" w:hAnsi="Aptos"/>
                <w:i/>
                <w:iCs/>
              </w:rPr>
              <w:t>We recommend:</w:t>
            </w:r>
          </w:p>
          <w:p w14:paraId="33BFF8DE" w14:textId="0211F0B7" w:rsidR="004579EA" w:rsidRPr="0051157C" w:rsidRDefault="008A2F68" w:rsidP="008A2F68">
            <w:pPr>
              <w:jc w:val="both"/>
              <w:rPr>
                <w:rFonts w:ascii="Aptos" w:hAnsi="Aptos"/>
                <w:i/>
                <w:iCs/>
              </w:rPr>
            </w:pPr>
            <w:r w:rsidRPr="0051157C">
              <w:rPr>
                <w:rFonts w:ascii="Aptos" w:hAnsi="Aptos"/>
                <w:i/>
                <w:iCs/>
              </w:rPr>
              <w:t>the retention of paragraph 2(j) of the Third Schedule of the Income Tax Act relating to businesses engaged in the local assembly of motor vehicles.</w:t>
            </w:r>
          </w:p>
          <w:p w14:paraId="4A126630" w14:textId="74CE7B33" w:rsidR="008A2F68" w:rsidRPr="0051157C" w:rsidRDefault="008A2F68" w:rsidP="008A2F68">
            <w:pPr>
              <w:jc w:val="both"/>
              <w:rPr>
                <w:rFonts w:ascii="Aptos" w:hAnsi="Aptos" w:cstheme="majorHAnsi"/>
                <w:bCs/>
              </w:rPr>
            </w:pPr>
          </w:p>
        </w:tc>
        <w:tc>
          <w:tcPr>
            <w:tcW w:w="4334" w:type="dxa"/>
          </w:tcPr>
          <w:p w14:paraId="3EE723C4" w14:textId="3D9157F1" w:rsidR="004579EA" w:rsidRPr="0051157C" w:rsidRDefault="00FE523E" w:rsidP="00FE523E">
            <w:pPr>
              <w:spacing w:line="254" w:lineRule="auto"/>
              <w:rPr>
                <w:rFonts w:ascii="Aptos" w:eastAsia="Calibri Light" w:hAnsi="Aptos" w:cstheme="minorHAnsi"/>
              </w:rPr>
            </w:pPr>
            <w:r w:rsidRPr="0051157C">
              <w:rPr>
                <w:rFonts w:ascii="Aptos" w:eastAsia="Calibri Light" w:hAnsi="Aptos" w:cstheme="minorHAnsi"/>
              </w:rPr>
              <w:t>The proposal to repeal the preferential tax rate for local assemblers of motor vehicles is counterproductive since locally assembled vehicles would reduce imports, thus reducing the balance of trade and creates job opportunities for the citizenry.</w:t>
            </w:r>
          </w:p>
        </w:tc>
      </w:tr>
      <w:tr w:rsidR="0026695E" w:rsidRPr="0051157C" w14:paraId="33413FCF" w14:textId="77777777" w:rsidTr="009A3429">
        <w:tc>
          <w:tcPr>
            <w:tcW w:w="535" w:type="dxa"/>
          </w:tcPr>
          <w:p w14:paraId="0779AAF5" w14:textId="4EF06B7C" w:rsidR="0026695E" w:rsidRPr="0051157C" w:rsidRDefault="0026695E" w:rsidP="0026695E">
            <w:pPr>
              <w:jc w:val="both"/>
              <w:rPr>
                <w:rFonts w:ascii="Aptos" w:hAnsi="Aptos" w:cstheme="minorHAnsi"/>
                <w:b/>
              </w:rPr>
            </w:pPr>
            <w:r w:rsidRPr="0051157C">
              <w:rPr>
                <w:rFonts w:ascii="Aptos" w:hAnsi="Aptos" w:cstheme="minorHAnsi"/>
                <w:b/>
              </w:rPr>
              <w:t>6.</w:t>
            </w:r>
          </w:p>
        </w:tc>
        <w:tc>
          <w:tcPr>
            <w:tcW w:w="1949" w:type="dxa"/>
          </w:tcPr>
          <w:p w14:paraId="276A9A6F" w14:textId="77777777" w:rsidR="0026695E" w:rsidRPr="0051157C" w:rsidRDefault="0026695E" w:rsidP="0026695E">
            <w:pPr>
              <w:rPr>
                <w:rFonts w:ascii="Aptos" w:hAnsi="Aptos"/>
                <w:b/>
                <w:bCs/>
                <w:lang w:val="en-US"/>
              </w:rPr>
            </w:pPr>
            <w:r w:rsidRPr="0051157C">
              <w:rPr>
                <w:rFonts w:ascii="Aptos" w:hAnsi="Aptos"/>
                <w:b/>
                <w:bCs/>
                <w:lang w:val="en-US"/>
              </w:rPr>
              <w:t>Clause 11</w:t>
            </w:r>
          </w:p>
          <w:p w14:paraId="3FB3524A" w14:textId="77777777" w:rsidR="0026695E" w:rsidRPr="0051157C" w:rsidRDefault="0026695E" w:rsidP="0026695E">
            <w:pPr>
              <w:rPr>
                <w:rFonts w:ascii="Aptos" w:hAnsi="Aptos"/>
                <w:b/>
                <w:bCs/>
                <w:lang w:val="en-US"/>
              </w:rPr>
            </w:pPr>
          </w:p>
          <w:p w14:paraId="5D68C30A" w14:textId="77777777" w:rsidR="0026695E" w:rsidRPr="0051157C" w:rsidRDefault="0026695E" w:rsidP="0026695E">
            <w:pPr>
              <w:rPr>
                <w:rFonts w:ascii="Aptos" w:hAnsi="Aptos"/>
                <w:b/>
                <w:bCs/>
              </w:rPr>
            </w:pPr>
            <w:r w:rsidRPr="0051157C">
              <w:rPr>
                <w:rFonts w:ascii="Aptos" w:hAnsi="Aptos"/>
                <w:b/>
                <w:bCs/>
                <w:lang w:val="en-US"/>
              </w:rPr>
              <w:t>Country by country reporting on behalf of other related parties</w:t>
            </w:r>
          </w:p>
          <w:p w14:paraId="61A0377E" w14:textId="77777777" w:rsidR="0026695E" w:rsidRPr="0051157C" w:rsidRDefault="0026695E" w:rsidP="0026695E">
            <w:pPr>
              <w:jc w:val="both"/>
              <w:rPr>
                <w:rFonts w:ascii="Aptos" w:hAnsi="Aptos" w:cstheme="minorHAnsi"/>
                <w:b/>
              </w:rPr>
            </w:pPr>
          </w:p>
        </w:tc>
        <w:tc>
          <w:tcPr>
            <w:tcW w:w="7636" w:type="dxa"/>
          </w:tcPr>
          <w:p w14:paraId="3C78A6FE" w14:textId="77777777" w:rsidR="0026695E" w:rsidRPr="0051157C" w:rsidRDefault="0026695E" w:rsidP="00E9775B">
            <w:pPr>
              <w:pStyle w:val="ListParagraph"/>
              <w:numPr>
                <w:ilvl w:val="0"/>
                <w:numId w:val="3"/>
              </w:numPr>
              <w:spacing w:line="254" w:lineRule="auto"/>
              <w:ind w:left="259" w:hanging="259"/>
              <w:rPr>
                <w:rFonts w:ascii="Aptos" w:hAnsi="Aptos"/>
              </w:rPr>
            </w:pPr>
            <w:r w:rsidRPr="0051157C">
              <w:rPr>
                <w:rFonts w:ascii="Aptos" w:hAnsi="Aptos"/>
                <w:lang w:val="en-US"/>
              </w:rPr>
              <w:lastRenderedPageBreak/>
              <w:t>The Bill proposes to delete the words “</w:t>
            </w:r>
            <w:r w:rsidRPr="0051157C">
              <w:rPr>
                <w:rFonts w:ascii="Aptos" w:hAnsi="Aptos"/>
                <w:i/>
                <w:iCs/>
                <w:lang w:val="en-US"/>
              </w:rPr>
              <w:t>as a surrogate parent entity</w:t>
            </w:r>
            <w:r w:rsidRPr="0051157C">
              <w:rPr>
                <w:rFonts w:ascii="Aptos" w:hAnsi="Aptos"/>
                <w:lang w:val="en-US"/>
              </w:rPr>
              <w:t>” and replace with the following words “</w:t>
            </w:r>
            <w:r w:rsidRPr="0051157C">
              <w:rPr>
                <w:rFonts w:ascii="Aptos" w:hAnsi="Aptos"/>
                <w:i/>
                <w:iCs/>
                <w:lang w:val="en-US"/>
              </w:rPr>
              <w:t>to file a country-by-country report and notify the Commissioner by the last day of the reporting financial year of that group in such form as the Commissioner may specify</w:t>
            </w:r>
            <w:r w:rsidRPr="0051157C">
              <w:rPr>
                <w:rFonts w:ascii="Aptos" w:hAnsi="Aptos"/>
                <w:lang w:val="en-US"/>
              </w:rPr>
              <w:t xml:space="preserve">”. </w:t>
            </w:r>
          </w:p>
          <w:p w14:paraId="7BAB2FB8" w14:textId="77777777" w:rsidR="0026695E" w:rsidRPr="0051157C" w:rsidRDefault="0026695E" w:rsidP="0026695E">
            <w:pPr>
              <w:spacing w:line="254" w:lineRule="auto"/>
              <w:rPr>
                <w:rFonts w:ascii="Aptos" w:hAnsi="Aptos"/>
              </w:rPr>
            </w:pPr>
          </w:p>
          <w:p w14:paraId="715290B0" w14:textId="4A03C525" w:rsidR="0026695E" w:rsidRPr="0051157C" w:rsidRDefault="0026695E" w:rsidP="0026695E">
            <w:pPr>
              <w:spacing w:line="254" w:lineRule="auto"/>
              <w:rPr>
                <w:rFonts w:ascii="Aptos" w:hAnsi="Aptos"/>
              </w:rPr>
            </w:pPr>
            <w:r w:rsidRPr="0051157C">
              <w:rPr>
                <w:rFonts w:ascii="Aptos" w:hAnsi="Aptos"/>
              </w:rPr>
              <w:t xml:space="preserve">We note that </w:t>
            </w:r>
            <w:r w:rsidRPr="0051157C">
              <w:rPr>
                <w:rFonts w:ascii="Aptos" w:eastAsia="Calibri Light" w:hAnsi="Aptos" w:cstheme="minorHAnsi"/>
              </w:rPr>
              <w:t xml:space="preserve">the provision as framed may cause confusion regarding the deadline of filing the country-by-country report as provided for under Section </w:t>
            </w:r>
            <w:r w:rsidRPr="0051157C">
              <w:rPr>
                <w:rFonts w:ascii="Aptos" w:eastAsia="Calibri Light" w:hAnsi="Aptos" w:cstheme="minorHAnsi"/>
              </w:rPr>
              <w:lastRenderedPageBreak/>
              <w:t>18D (2) which provides for filing of the country-by-country report within twelve months from the financial year end</w:t>
            </w:r>
            <w:r w:rsidR="001F5F89">
              <w:rPr>
                <w:rFonts w:ascii="Aptos" w:eastAsia="Calibri Light" w:hAnsi="Aptos" w:cstheme="minorHAnsi"/>
              </w:rPr>
              <w:t>. This provision addresses notification to the Commissioner but has been improperly worded</w:t>
            </w:r>
            <w:r w:rsidRPr="0051157C">
              <w:rPr>
                <w:rFonts w:ascii="Aptos" w:hAnsi="Aptos"/>
              </w:rPr>
              <w:t>.</w:t>
            </w:r>
          </w:p>
          <w:p w14:paraId="0785B10B" w14:textId="77777777" w:rsidR="0026695E" w:rsidRPr="0051157C" w:rsidRDefault="0026695E" w:rsidP="0026695E">
            <w:pPr>
              <w:spacing w:line="254" w:lineRule="auto"/>
              <w:rPr>
                <w:rFonts w:ascii="Aptos" w:eastAsia="Calibri Light" w:hAnsi="Aptos" w:cstheme="minorHAnsi"/>
              </w:rPr>
            </w:pPr>
          </w:p>
          <w:p w14:paraId="2EE5A546" w14:textId="77777777" w:rsidR="0026695E" w:rsidRPr="0051157C" w:rsidRDefault="0026695E" w:rsidP="0026695E">
            <w:pPr>
              <w:spacing w:line="254" w:lineRule="auto"/>
              <w:rPr>
                <w:rFonts w:ascii="Aptos" w:eastAsia="Calibri Light" w:hAnsi="Aptos" w:cstheme="minorHAnsi"/>
                <w:b/>
                <w:bCs/>
                <w:color w:val="92D050"/>
              </w:rPr>
            </w:pPr>
            <w:r w:rsidRPr="0051157C">
              <w:rPr>
                <w:rFonts w:ascii="Aptos" w:eastAsia="Calibri Light" w:hAnsi="Aptos" w:cstheme="minorHAnsi"/>
                <w:b/>
                <w:bCs/>
                <w:color w:val="92D050"/>
              </w:rPr>
              <w:t xml:space="preserve">Recommendation </w:t>
            </w:r>
          </w:p>
          <w:p w14:paraId="3B0243B3" w14:textId="77777777" w:rsidR="0026695E" w:rsidRPr="0051157C" w:rsidRDefault="0026695E" w:rsidP="0026695E">
            <w:pPr>
              <w:spacing w:line="254" w:lineRule="auto"/>
              <w:rPr>
                <w:rFonts w:ascii="Aptos" w:hAnsi="Aptos"/>
                <w:lang w:val="en-US"/>
              </w:rPr>
            </w:pPr>
            <w:r w:rsidRPr="0051157C">
              <w:rPr>
                <w:rFonts w:ascii="Aptos" w:hAnsi="Aptos"/>
                <w:lang w:val="en-US"/>
              </w:rPr>
              <w:t>We propose Section 18D (8) of the ITA to be amended as follows:</w:t>
            </w:r>
          </w:p>
          <w:p w14:paraId="60EBF8A0" w14:textId="77777777" w:rsidR="0026695E" w:rsidRPr="0051157C" w:rsidRDefault="0026695E" w:rsidP="0026695E">
            <w:pPr>
              <w:spacing w:line="254" w:lineRule="auto"/>
              <w:rPr>
                <w:rFonts w:ascii="Aptos" w:hAnsi="Aptos"/>
                <w:lang w:val="en-US"/>
              </w:rPr>
            </w:pPr>
          </w:p>
          <w:p w14:paraId="57AE00B8" w14:textId="77777777" w:rsidR="0026695E" w:rsidRPr="0051157C" w:rsidRDefault="0026695E" w:rsidP="00E9775B">
            <w:pPr>
              <w:pStyle w:val="ListParagraph"/>
              <w:numPr>
                <w:ilvl w:val="0"/>
                <w:numId w:val="11"/>
              </w:numPr>
              <w:spacing w:line="254" w:lineRule="auto"/>
              <w:ind w:left="426" w:hanging="426"/>
              <w:rPr>
                <w:rFonts w:ascii="Aptos" w:eastAsia="Calibri Light" w:hAnsi="Aptos" w:cstheme="minorHAnsi"/>
                <w:i/>
                <w:iCs/>
              </w:rPr>
            </w:pPr>
            <w:r w:rsidRPr="0051157C">
              <w:rPr>
                <w:rFonts w:ascii="Aptos" w:hAnsi="Aptos"/>
                <w:i/>
                <w:iCs/>
                <w:lang w:val="en-US"/>
              </w:rPr>
              <w:t xml:space="preserve">Delete the words “as a surrogate parent entity” and replace with the following words “to file a country-by-country report </w:t>
            </w:r>
            <w:r w:rsidRPr="00411364">
              <w:rPr>
                <w:rFonts w:ascii="Aptos" w:hAnsi="Aptos"/>
                <w:b/>
                <w:bCs/>
                <w:i/>
                <w:iCs/>
                <w:lang w:val="en-US"/>
              </w:rPr>
              <w:t>notification</w:t>
            </w:r>
            <w:r w:rsidRPr="0051157C">
              <w:rPr>
                <w:rFonts w:ascii="Aptos" w:hAnsi="Aptos"/>
                <w:i/>
                <w:iCs/>
                <w:lang w:val="en-US"/>
              </w:rPr>
              <w:t xml:space="preserve"> with the Commissioner by the last day of the reporting financial year of that group in such form as the Commissioner may specify”.</w:t>
            </w:r>
          </w:p>
          <w:p w14:paraId="5A7DC958" w14:textId="77777777" w:rsidR="0026695E" w:rsidRPr="0051157C" w:rsidRDefault="0026695E" w:rsidP="0026695E">
            <w:pPr>
              <w:jc w:val="both"/>
              <w:rPr>
                <w:rFonts w:ascii="Aptos" w:hAnsi="Aptos" w:cstheme="majorHAnsi"/>
                <w:bCs/>
              </w:rPr>
            </w:pPr>
          </w:p>
        </w:tc>
        <w:tc>
          <w:tcPr>
            <w:tcW w:w="4334" w:type="dxa"/>
          </w:tcPr>
          <w:p w14:paraId="26A21661" w14:textId="495E7094" w:rsidR="0026695E" w:rsidRPr="0051157C" w:rsidRDefault="0026695E" w:rsidP="0026695E">
            <w:pPr>
              <w:jc w:val="both"/>
              <w:rPr>
                <w:rFonts w:ascii="Aptos" w:hAnsi="Aptos" w:cstheme="majorHAnsi"/>
                <w:bCs/>
              </w:rPr>
            </w:pPr>
            <w:r w:rsidRPr="0051157C">
              <w:rPr>
                <w:rFonts w:ascii="Aptos" w:eastAsia="Calibri Light" w:hAnsi="Aptos" w:cstheme="minorHAnsi"/>
              </w:rPr>
              <w:lastRenderedPageBreak/>
              <w:t xml:space="preserve">For clarity, consistency, and to avoid confusion on the country-by-country compliance requirements.  </w:t>
            </w:r>
          </w:p>
        </w:tc>
      </w:tr>
      <w:tr w:rsidR="0026695E" w:rsidRPr="0051157C" w14:paraId="0E7A0181" w14:textId="77777777" w:rsidTr="00C33688">
        <w:tc>
          <w:tcPr>
            <w:tcW w:w="14454" w:type="dxa"/>
            <w:gridSpan w:val="4"/>
          </w:tcPr>
          <w:p w14:paraId="508EB9C8" w14:textId="0735363C" w:rsidR="0026695E" w:rsidRPr="0051157C" w:rsidRDefault="0026695E" w:rsidP="004579EA">
            <w:pPr>
              <w:jc w:val="both"/>
              <w:rPr>
                <w:rFonts w:ascii="Aptos" w:hAnsi="Aptos" w:cstheme="majorHAnsi"/>
                <w:bCs/>
              </w:rPr>
            </w:pPr>
            <w:r w:rsidRPr="0051157C">
              <w:rPr>
                <w:rFonts w:ascii="Aptos" w:hAnsi="Aptos" w:cstheme="minorHAnsi"/>
                <w:b/>
              </w:rPr>
              <w:t>Proposals not in the Bill</w:t>
            </w:r>
          </w:p>
        </w:tc>
      </w:tr>
      <w:tr w:rsidR="006109F6" w:rsidRPr="0051157C" w14:paraId="70B96820" w14:textId="77777777" w:rsidTr="009A3429">
        <w:tc>
          <w:tcPr>
            <w:tcW w:w="535" w:type="dxa"/>
          </w:tcPr>
          <w:p w14:paraId="0E4245CE" w14:textId="467B15B2" w:rsidR="006109F6" w:rsidRPr="0051157C" w:rsidRDefault="006109F6" w:rsidP="006109F6">
            <w:pPr>
              <w:jc w:val="both"/>
              <w:rPr>
                <w:rFonts w:ascii="Aptos" w:hAnsi="Aptos" w:cstheme="minorHAnsi"/>
                <w:b/>
              </w:rPr>
            </w:pPr>
            <w:r w:rsidRPr="0051157C">
              <w:rPr>
                <w:rFonts w:ascii="Aptos" w:hAnsi="Aptos" w:cstheme="minorHAnsi"/>
                <w:b/>
              </w:rPr>
              <w:t>1.</w:t>
            </w:r>
          </w:p>
        </w:tc>
        <w:tc>
          <w:tcPr>
            <w:tcW w:w="1949" w:type="dxa"/>
          </w:tcPr>
          <w:p w14:paraId="69768680" w14:textId="77777777" w:rsidR="006109F6" w:rsidRPr="0051157C" w:rsidRDefault="006109F6" w:rsidP="006109F6">
            <w:pPr>
              <w:jc w:val="both"/>
              <w:rPr>
                <w:rFonts w:ascii="Aptos" w:hAnsi="Aptos" w:cstheme="minorHAnsi"/>
                <w:b/>
              </w:rPr>
            </w:pPr>
            <w:r w:rsidRPr="0051157C">
              <w:rPr>
                <w:rFonts w:ascii="Aptos" w:hAnsi="Aptos" w:cstheme="minorHAnsi"/>
                <w:b/>
              </w:rPr>
              <w:t>Third Schedule to the ITA</w:t>
            </w:r>
          </w:p>
          <w:p w14:paraId="0281FB68" w14:textId="77777777" w:rsidR="006109F6" w:rsidRPr="0051157C" w:rsidRDefault="006109F6" w:rsidP="006109F6">
            <w:pPr>
              <w:jc w:val="both"/>
              <w:rPr>
                <w:rFonts w:ascii="Aptos" w:hAnsi="Aptos" w:cstheme="minorHAnsi"/>
                <w:b/>
              </w:rPr>
            </w:pPr>
          </w:p>
          <w:p w14:paraId="1F7CA7BC" w14:textId="57D2D0B2" w:rsidR="006109F6" w:rsidRPr="0051157C" w:rsidRDefault="006109F6" w:rsidP="006109F6">
            <w:pPr>
              <w:jc w:val="both"/>
              <w:rPr>
                <w:rFonts w:ascii="Aptos" w:hAnsi="Aptos" w:cstheme="minorHAnsi"/>
                <w:b/>
              </w:rPr>
            </w:pPr>
            <w:r w:rsidRPr="0051157C">
              <w:rPr>
                <w:rFonts w:ascii="Aptos" w:hAnsi="Aptos" w:cstheme="minorHAnsi"/>
                <w:b/>
              </w:rPr>
              <w:t>Corporate tax rate</w:t>
            </w:r>
          </w:p>
        </w:tc>
        <w:tc>
          <w:tcPr>
            <w:tcW w:w="7636" w:type="dxa"/>
          </w:tcPr>
          <w:p w14:paraId="2E8D84A6" w14:textId="77777777" w:rsidR="006109F6" w:rsidRPr="0051157C" w:rsidRDefault="006109F6" w:rsidP="006109F6">
            <w:pPr>
              <w:jc w:val="both"/>
              <w:rPr>
                <w:rFonts w:ascii="Aptos" w:hAnsi="Aptos" w:cstheme="majorHAnsi"/>
                <w:lang w:val="en-US"/>
              </w:rPr>
            </w:pPr>
            <w:r w:rsidRPr="0051157C">
              <w:rPr>
                <w:rFonts w:ascii="Aptos" w:hAnsi="Aptos" w:cstheme="majorHAnsi"/>
                <w:lang w:val="en-US"/>
              </w:rPr>
              <w:t xml:space="preserve">We propose a reduction of corporation income tax rate for locally incorporated entities from 30% to 28%. </w:t>
            </w:r>
          </w:p>
          <w:p w14:paraId="062692CC" w14:textId="77777777" w:rsidR="006109F6" w:rsidRPr="0051157C" w:rsidRDefault="006109F6" w:rsidP="006109F6">
            <w:pPr>
              <w:jc w:val="both"/>
              <w:rPr>
                <w:rFonts w:ascii="Aptos" w:hAnsi="Aptos" w:cstheme="majorHAnsi"/>
                <w:lang w:val="en-US"/>
              </w:rPr>
            </w:pPr>
          </w:p>
          <w:p w14:paraId="10DA6252" w14:textId="77777777" w:rsidR="006109F6" w:rsidRPr="0051157C" w:rsidRDefault="006109F6" w:rsidP="006109F6">
            <w:pPr>
              <w:jc w:val="both"/>
              <w:rPr>
                <w:rFonts w:ascii="Aptos" w:hAnsi="Aptos" w:cstheme="majorHAnsi"/>
                <w:lang w:val="en-US"/>
              </w:rPr>
            </w:pPr>
            <w:r w:rsidRPr="0051157C">
              <w:rPr>
                <w:rFonts w:ascii="Aptos" w:hAnsi="Aptos" w:cstheme="majorHAnsi"/>
                <w:lang w:val="en-US"/>
              </w:rPr>
              <w:t>This proposal aligns with Annex I (</w:t>
            </w:r>
            <w:r w:rsidRPr="0051157C">
              <w:rPr>
                <w:rFonts w:ascii="Aptos" w:hAnsi="Aptos" w:cstheme="majorHAnsi"/>
                <w:color w:val="70AD47" w:themeColor="accent6"/>
                <w:lang w:val="en-US"/>
              </w:rPr>
              <w:t xml:space="preserve">Implementation Matrix- Page 44) </w:t>
            </w:r>
            <w:r w:rsidRPr="0051157C">
              <w:rPr>
                <w:rFonts w:ascii="Aptos" w:hAnsi="Aptos" w:cstheme="majorHAnsi"/>
                <w:lang w:val="en-US"/>
              </w:rPr>
              <w:t>of the Medium-Term Revenue Strategy (MTRS) wherein a similar proposition was propounded for FY25/26</w:t>
            </w:r>
          </w:p>
          <w:p w14:paraId="24FA9ED6" w14:textId="77777777" w:rsidR="006109F6" w:rsidRPr="0051157C" w:rsidRDefault="006109F6" w:rsidP="006109F6">
            <w:pPr>
              <w:jc w:val="both"/>
              <w:rPr>
                <w:rFonts w:ascii="Aptos" w:hAnsi="Aptos" w:cstheme="majorHAnsi"/>
                <w:lang w:val="en-US"/>
              </w:rPr>
            </w:pPr>
          </w:p>
          <w:p w14:paraId="3DAC3050" w14:textId="77777777" w:rsidR="006109F6" w:rsidRPr="0051157C" w:rsidRDefault="006109F6" w:rsidP="006109F6">
            <w:pPr>
              <w:jc w:val="both"/>
              <w:rPr>
                <w:rFonts w:ascii="Aptos" w:hAnsi="Aptos" w:cstheme="majorHAnsi"/>
              </w:rPr>
            </w:pPr>
            <w:r w:rsidRPr="0051157C">
              <w:rPr>
                <w:rFonts w:ascii="Aptos" w:hAnsi="Aptos" w:cstheme="majorHAnsi"/>
              </w:rPr>
              <w:t>On account of the proposition, we recommend amendment of Head B – Rates of Tax specifically paragraph 2 a (ix) of the Third Schedule to the Income Tax Act (ITA) to ensue and read as follows;</w:t>
            </w:r>
          </w:p>
          <w:p w14:paraId="11C64C39" w14:textId="77777777" w:rsidR="006109F6" w:rsidRPr="0051157C" w:rsidRDefault="006109F6" w:rsidP="006109F6">
            <w:pPr>
              <w:jc w:val="both"/>
              <w:rPr>
                <w:rFonts w:ascii="Aptos" w:hAnsi="Aptos" w:cstheme="majorHAnsi"/>
              </w:rPr>
            </w:pPr>
          </w:p>
          <w:p w14:paraId="7F66F467" w14:textId="77777777" w:rsidR="006109F6" w:rsidRPr="0051157C" w:rsidRDefault="006109F6" w:rsidP="006109F6">
            <w:pPr>
              <w:jc w:val="both"/>
              <w:rPr>
                <w:rFonts w:ascii="Aptos" w:hAnsi="Aptos" w:cstheme="majorHAnsi"/>
                <w:i/>
                <w:iCs/>
              </w:rPr>
            </w:pPr>
            <w:r w:rsidRPr="0051157C">
              <w:rPr>
                <w:rFonts w:ascii="Aptos" w:hAnsi="Aptos" w:cstheme="majorHAnsi"/>
                <w:i/>
                <w:iCs/>
              </w:rPr>
              <w:t xml:space="preserve">2. “The corporation rate of tax shall be – </w:t>
            </w:r>
          </w:p>
          <w:p w14:paraId="2BBB217C" w14:textId="77777777" w:rsidR="006109F6" w:rsidRPr="0051157C" w:rsidRDefault="006109F6" w:rsidP="00E9775B">
            <w:pPr>
              <w:pStyle w:val="ListParagraph"/>
              <w:numPr>
                <w:ilvl w:val="0"/>
                <w:numId w:val="12"/>
              </w:numPr>
              <w:jc w:val="both"/>
              <w:rPr>
                <w:rFonts w:ascii="Aptos" w:hAnsi="Aptos" w:cstheme="majorHAnsi"/>
                <w:i/>
                <w:iCs/>
              </w:rPr>
            </w:pPr>
            <w:r w:rsidRPr="0051157C">
              <w:rPr>
                <w:rFonts w:ascii="Aptos" w:hAnsi="Aptos" w:cstheme="majorHAnsi"/>
                <w:i/>
                <w:iCs/>
              </w:rPr>
              <w:t xml:space="preserve">In the case of a resident company – </w:t>
            </w:r>
          </w:p>
          <w:p w14:paraId="45005482" w14:textId="77777777" w:rsidR="006109F6" w:rsidRPr="0051157C" w:rsidRDefault="006109F6" w:rsidP="006109F6">
            <w:pPr>
              <w:pStyle w:val="ListParagraph"/>
              <w:jc w:val="both"/>
              <w:rPr>
                <w:rFonts w:ascii="Aptos" w:hAnsi="Aptos" w:cstheme="majorHAnsi"/>
                <w:i/>
                <w:iCs/>
              </w:rPr>
            </w:pPr>
          </w:p>
          <w:p w14:paraId="38B6DD7D" w14:textId="77777777" w:rsidR="006109F6" w:rsidRPr="0051157C" w:rsidRDefault="006109F6" w:rsidP="006109F6">
            <w:pPr>
              <w:jc w:val="both"/>
              <w:rPr>
                <w:rFonts w:ascii="Aptos" w:hAnsi="Aptos" w:cstheme="majorHAnsi"/>
                <w:i/>
                <w:iCs/>
                <w:u w:val="single"/>
              </w:rPr>
            </w:pPr>
            <w:r w:rsidRPr="0051157C">
              <w:rPr>
                <w:rFonts w:ascii="Aptos" w:hAnsi="Aptos" w:cstheme="majorHAnsi"/>
                <w:i/>
                <w:iCs/>
                <w:u w:val="single"/>
              </w:rPr>
              <w:t>Rates in each twenty shillings</w:t>
            </w:r>
          </w:p>
          <w:p w14:paraId="5A5BCB37" w14:textId="77777777" w:rsidR="006109F6" w:rsidRPr="0051157C" w:rsidRDefault="006109F6" w:rsidP="006109F6">
            <w:pPr>
              <w:pStyle w:val="ListParagraph"/>
              <w:jc w:val="both"/>
              <w:rPr>
                <w:rFonts w:ascii="Aptos" w:hAnsi="Aptos" w:cstheme="majorHAnsi"/>
                <w:i/>
                <w:iCs/>
                <w:u w:val="single"/>
              </w:rPr>
            </w:pPr>
          </w:p>
          <w:p w14:paraId="0E8FEFC6" w14:textId="77777777" w:rsidR="006109F6" w:rsidRPr="0051157C" w:rsidRDefault="006109F6" w:rsidP="006109F6">
            <w:pPr>
              <w:jc w:val="both"/>
              <w:rPr>
                <w:rFonts w:ascii="Aptos" w:hAnsi="Aptos" w:cstheme="majorHAnsi"/>
                <w:i/>
                <w:iCs/>
              </w:rPr>
            </w:pPr>
            <w:r w:rsidRPr="0051157C">
              <w:rPr>
                <w:rFonts w:ascii="Aptos" w:hAnsi="Aptos" w:cstheme="majorHAnsi"/>
                <w:i/>
                <w:iCs/>
              </w:rPr>
              <w:lastRenderedPageBreak/>
              <w:t xml:space="preserve">   (ix) for the year of income 2025 and each subsequent year of income……KES 5.60.”</w:t>
            </w:r>
          </w:p>
          <w:p w14:paraId="0C3B9E1C" w14:textId="77777777" w:rsidR="006109F6" w:rsidRPr="0051157C" w:rsidRDefault="006109F6" w:rsidP="006109F6">
            <w:pPr>
              <w:jc w:val="both"/>
              <w:rPr>
                <w:rFonts w:ascii="Aptos" w:hAnsi="Aptos" w:cstheme="majorHAnsi"/>
                <w:bCs/>
              </w:rPr>
            </w:pPr>
          </w:p>
        </w:tc>
        <w:tc>
          <w:tcPr>
            <w:tcW w:w="4334" w:type="dxa"/>
          </w:tcPr>
          <w:p w14:paraId="597D7211" w14:textId="77777777" w:rsidR="00E26D18" w:rsidRPr="0051157C" w:rsidRDefault="00E26D18" w:rsidP="00E26D18">
            <w:pPr>
              <w:jc w:val="both"/>
              <w:rPr>
                <w:rFonts w:ascii="Aptos" w:eastAsia="Calibri Light" w:hAnsi="Aptos" w:cstheme="minorHAnsi"/>
              </w:rPr>
            </w:pPr>
            <w:r w:rsidRPr="0051157C">
              <w:rPr>
                <w:rFonts w:ascii="Aptos" w:eastAsia="Calibri Light" w:hAnsi="Aptos" w:cstheme="minorHAnsi"/>
              </w:rPr>
              <w:lastRenderedPageBreak/>
              <w:t xml:space="preserve">It is our considered view that a 28% corporation income tax rate will strategically position Kenya as a preferred investment destination for foreign direct investments by the fact that it will be below the Africa average of 29% and will be comparable to the Global average of 23%. </w:t>
            </w:r>
          </w:p>
          <w:p w14:paraId="3C8DD303" w14:textId="77777777" w:rsidR="00E26D18" w:rsidRPr="0051157C" w:rsidRDefault="00E26D18" w:rsidP="00E26D18">
            <w:pPr>
              <w:jc w:val="both"/>
              <w:rPr>
                <w:rFonts w:ascii="Aptos" w:eastAsia="Calibri Light" w:hAnsi="Aptos" w:cstheme="minorHAnsi"/>
              </w:rPr>
            </w:pPr>
          </w:p>
          <w:p w14:paraId="27E4F5F4" w14:textId="77777777" w:rsidR="00E26D18" w:rsidRPr="0051157C" w:rsidRDefault="00E26D18" w:rsidP="00E26D18">
            <w:pPr>
              <w:jc w:val="both"/>
              <w:rPr>
                <w:rFonts w:ascii="Aptos" w:eastAsia="Calibri Light" w:hAnsi="Aptos" w:cstheme="minorHAnsi"/>
              </w:rPr>
            </w:pPr>
            <w:r w:rsidRPr="0051157C">
              <w:rPr>
                <w:rFonts w:ascii="Aptos" w:eastAsia="Calibri Light" w:hAnsi="Aptos" w:cstheme="minorHAnsi"/>
              </w:rPr>
              <w:t>The reduction will also serve to deter aggressive tax planning strategies and lobbying for tax exemptions that work to increase tax expenditure. Laffer Curve illustrates the relationship between tax rates and government revenue, suggesting that there is an optimal tax rate that maximizes revenue without discouraging economic activity.</w:t>
            </w:r>
          </w:p>
          <w:p w14:paraId="15BC5FA5" w14:textId="77777777" w:rsidR="00E26D18" w:rsidRPr="0051157C" w:rsidRDefault="00E26D18" w:rsidP="00E26D18">
            <w:pPr>
              <w:jc w:val="both"/>
              <w:rPr>
                <w:rFonts w:ascii="Aptos" w:eastAsia="Calibri Light" w:hAnsi="Aptos" w:cstheme="minorHAnsi"/>
              </w:rPr>
            </w:pPr>
          </w:p>
          <w:p w14:paraId="7652E17F" w14:textId="77777777" w:rsidR="006109F6" w:rsidRDefault="00E26D18" w:rsidP="00E26D18">
            <w:pPr>
              <w:jc w:val="both"/>
              <w:rPr>
                <w:rFonts w:ascii="Aptos" w:eastAsia="Calibri Light" w:hAnsi="Aptos" w:cstheme="minorHAnsi"/>
              </w:rPr>
            </w:pPr>
            <w:r w:rsidRPr="0051157C">
              <w:rPr>
                <w:rFonts w:ascii="Aptos" w:eastAsia="Calibri Light" w:hAnsi="Aptos" w:cstheme="minorHAnsi"/>
              </w:rPr>
              <w:t>In addition, this will enhance the spending power of taxpayers and can increase aggregate demand, leading to higher economic</w:t>
            </w:r>
            <w:r w:rsidR="003C7FCB">
              <w:rPr>
                <w:rFonts w:ascii="Aptos" w:eastAsia="Calibri Light" w:hAnsi="Aptos" w:cstheme="minorHAnsi"/>
              </w:rPr>
              <w:t xml:space="preserve"> growth and collection of consumption taxes.</w:t>
            </w:r>
          </w:p>
          <w:p w14:paraId="662D3E3C" w14:textId="2D5E72FF" w:rsidR="003C7FCB" w:rsidRPr="0051157C" w:rsidRDefault="003C7FCB" w:rsidP="00E26D18">
            <w:pPr>
              <w:jc w:val="both"/>
              <w:rPr>
                <w:rFonts w:ascii="Aptos" w:hAnsi="Aptos" w:cstheme="majorHAnsi"/>
                <w:bCs/>
              </w:rPr>
            </w:pPr>
          </w:p>
        </w:tc>
      </w:tr>
      <w:tr w:rsidR="004072E3" w:rsidRPr="0051157C" w14:paraId="678ACA71" w14:textId="77777777" w:rsidTr="009A3429">
        <w:tc>
          <w:tcPr>
            <w:tcW w:w="535" w:type="dxa"/>
          </w:tcPr>
          <w:p w14:paraId="65E23003" w14:textId="25B1B13B" w:rsidR="004072E3" w:rsidRPr="0051157C" w:rsidRDefault="00A47FEE" w:rsidP="004072E3">
            <w:pPr>
              <w:jc w:val="both"/>
              <w:rPr>
                <w:rFonts w:ascii="Aptos" w:hAnsi="Aptos" w:cstheme="minorHAnsi"/>
                <w:b/>
              </w:rPr>
            </w:pPr>
            <w:r>
              <w:rPr>
                <w:rFonts w:ascii="Aptos" w:hAnsi="Aptos" w:cstheme="minorHAnsi"/>
                <w:b/>
              </w:rPr>
              <w:lastRenderedPageBreak/>
              <w:t>2</w:t>
            </w:r>
            <w:r w:rsidR="004072E3" w:rsidRPr="0051157C">
              <w:rPr>
                <w:rFonts w:ascii="Aptos" w:hAnsi="Aptos" w:cstheme="minorHAnsi"/>
                <w:b/>
              </w:rPr>
              <w:t>.</w:t>
            </w:r>
          </w:p>
        </w:tc>
        <w:tc>
          <w:tcPr>
            <w:tcW w:w="1949" w:type="dxa"/>
          </w:tcPr>
          <w:p w14:paraId="59B94F10" w14:textId="46CDAC0C" w:rsidR="004072E3" w:rsidRPr="0051157C" w:rsidRDefault="00A47FEE" w:rsidP="004072E3">
            <w:pPr>
              <w:rPr>
                <w:rFonts w:ascii="Aptos" w:hAnsi="Aptos" w:cstheme="majorHAnsi"/>
                <w:b/>
              </w:rPr>
            </w:pPr>
            <w:r>
              <w:rPr>
                <w:rFonts w:ascii="Aptos" w:hAnsi="Aptos" w:cstheme="majorHAnsi"/>
                <w:b/>
              </w:rPr>
              <w:t>Section 15 (2) (a)</w:t>
            </w:r>
          </w:p>
          <w:p w14:paraId="351B0BE7" w14:textId="77777777" w:rsidR="004072E3" w:rsidRPr="0051157C" w:rsidRDefault="004072E3" w:rsidP="004072E3">
            <w:pPr>
              <w:rPr>
                <w:rFonts w:ascii="Aptos" w:hAnsi="Aptos" w:cstheme="majorHAnsi"/>
                <w:b/>
              </w:rPr>
            </w:pPr>
          </w:p>
          <w:p w14:paraId="3158C22D" w14:textId="69A476C1" w:rsidR="004072E3" w:rsidRPr="0051157C" w:rsidRDefault="004072E3" w:rsidP="004072E3">
            <w:pPr>
              <w:jc w:val="both"/>
              <w:rPr>
                <w:rFonts w:ascii="Aptos" w:hAnsi="Aptos" w:cstheme="minorHAnsi"/>
                <w:b/>
              </w:rPr>
            </w:pPr>
            <w:r w:rsidRPr="0051157C">
              <w:rPr>
                <w:rFonts w:ascii="Aptos" w:hAnsi="Aptos" w:cstheme="majorHAnsi"/>
                <w:b/>
              </w:rPr>
              <w:t>Bad debts of capital nature</w:t>
            </w:r>
          </w:p>
        </w:tc>
        <w:tc>
          <w:tcPr>
            <w:tcW w:w="7636" w:type="dxa"/>
          </w:tcPr>
          <w:p w14:paraId="020CF666" w14:textId="513E9DB1" w:rsidR="004072E3" w:rsidRPr="0051157C" w:rsidRDefault="004072E3" w:rsidP="004072E3">
            <w:pPr>
              <w:rPr>
                <w:rFonts w:ascii="Aptos" w:hAnsi="Aptos" w:cs="Calibri Light"/>
              </w:rPr>
            </w:pPr>
            <w:r w:rsidRPr="0051157C">
              <w:rPr>
                <w:rFonts w:ascii="Aptos" w:hAnsi="Aptos" w:cs="Calibri Light"/>
              </w:rPr>
              <w:t xml:space="preserve">We recommend the introduction of a new proviso </w:t>
            </w:r>
            <w:r w:rsidR="00A75C47">
              <w:rPr>
                <w:rFonts w:ascii="Aptos" w:hAnsi="Aptos" w:cs="Calibri Light"/>
              </w:rPr>
              <w:t>under Section 15 (2) (a) to read as follows:</w:t>
            </w:r>
            <w:r w:rsidRPr="0051157C">
              <w:rPr>
                <w:rFonts w:ascii="Aptos" w:hAnsi="Aptos" w:cs="Calibri Light"/>
              </w:rPr>
              <w:t xml:space="preserve"> </w:t>
            </w:r>
          </w:p>
          <w:p w14:paraId="46556971" w14:textId="77777777" w:rsidR="004072E3" w:rsidRPr="0051157C" w:rsidRDefault="004072E3" w:rsidP="004072E3">
            <w:pPr>
              <w:rPr>
                <w:rFonts w:ascii="Aptos" w:hAnsi="Aptos" w:cs="Calibri Light"/>
              </w:rPr>
            </w:pPr>
          </w:p>
          <w:p w14:paraId="55BAEB58" w14:textId="2A20B225" w:rsidR="004072E3" w:rsidRPr="0051157C" w:rsidRDefault="004072E3" w:rsidP="004072E3">
            <w:pPr>
              <w:rPr>
                <w:rFonts w:ascii="Aptos" w:hAnsi="Aptos" w:cs="Calibri Light"/>
              </w:rPr>
            </w:pPr>
            <w:r w:rsidRPr="0051157C">
              <w:rPr>
                <w:rFonts w:ascii="Aptos" w:hAnsi="Aptos" w:cs="Calibri Light"/>
              </w:rPr>
              <w:t>“</w:t>
            </w:r>
            <w:r w:rsidRPr="0051157C">
              <w:rPr>
                <w:rFonts w:ascii="Aptos" w:hAnsi="Aptos" w:cs="Calibri Light"/>
                <w:i/>
                <w:iCs/>
              </w:rPr>
              <w:t>Provided that in the case of persons involved in money lending business, a bad debt which has been deemed to have become uncollectible</w:t>
            </w:r>
            <w:r w:rsidR="00A75C47">
              <w:rPr>
                <w:rFonts w:ascii="Aptos" w:hAnsi="Aptos" w:cs="Calibri Light"/>
                <w:i/>
                <w:iCs/>
              </w:rPr>
              <w:t xml:space="preserve"> </w:t>
            </w:r>
            <w:r w:rsidR="00262A6C">
              <w:rPr>
                <w:rFonts w:ascii="Aptos" w:hAnsi="Aptos" w:cs="Calibri Light"/>
                <w:i/>
                <w:iCs/>
              </w:rPr>
              <w:t>under the guidelines</w:t>
            </w:r>
            <w:r w:rsidRPr="0051157C">
              <w:rPr>
                <w:rFonts w:ascii="Aptos" w:hAnsi="Aptos" w:cs="Calibri Light"/>
                <w:i/>
                <w:iCs/>
              </w:rPr>
              <w:t xml:space="preserve"> shall include both the principal and interest amount.”</w:t>
            </w:r>
          </w:p>
          <w:p w14:paraId="351DFF15" w14:textId="77777777" w:rsidR="004072E3" w:rsidRPr="0051157C" w:rsidRDefault="004072E3" w:rsidP="004072E3">
            <w:pPr>
              <w:jc w:val="both"/>
              <w:rPr>
                <w:rFonts w:ascii="Aptos" w:hAnsi="Aptos" w:cstheme="majorHAnsi"/>
                <w:bCs/>
              </w:rPr>
            </w:pPr>
          </w:p>
        </w:tc>
        <w:tc>
          <w:tcPr>
            <w:tcW w:w="4334" w:type="dxa"/>
          </w:tcPr>
          <w:p w14:paraId="05C88605" w14:textId="13B2EFAE" w:rsidR="004072E3" w:rsidRPr="0051157C" w:rsidRDefault="004072E3" w:rsidP="004072E3">
            <w:pPr>
              <w:rPr>
                <w:rFonts w:ascii="Aptos" w:eastAsia="Calibri Light" w:hAnsi="Aptos" w:cstheme="minorHAnsi"/>
              </w:rPr>
            </w:pPr>
            <w:r w:rsidRPr="0051157C">
              <w:rPr>
                <w:rFonts w:ascii="Aptos" w:eastAsia="Calibri Light" w:hAnsi="Aptos" w:cstheme="minorHAnsi"/>
              </w:rPr>
              <w:t xml:space="preserve">The primary reason for the inclusion of </w:t>
            </w:r>
            <w:r w:rsidR="00F70E53">
              <w:rPr>
                <w:rFonts w:ascii="Aptos" w:eastAsia="Calibri Light" w:hAnsi="Aptos" w:cstheme="minorHAnsi"/>
              </w:rPr>
              <w:t xml:space="preserve">this </w:t>
            </w:r>
            <w:r w:rsidRPr="0051157C">
              <w:rPr>
                <w:rFonts w:ascii="Aptos" w:eastAsia="Calibri Light" w:hAnsi="Aptos" w:cstheme="minorHAnsi"/>
              </w:rPr>
              <w:t>is to ensure that taxpayers only claim bad debts arising from circumstances which bear to their income earning activities. If the bad debt is an ordinary incident of the taxpayer's income earning activities, then the debt would be in their revenue account. For example, a bad debt incurred by a money lending institution would generally be expected to be a revenue loss and would therefore be allowable for income tax purposes.</w:t>
            </w:r>
          </w:p>
          <w:p w14:paraId="78CA1932" w14:textId="77777777" w:rsidR="004072E3" w:rsidRPr="0051157C" w:rsidRDefault="004072E3" w:rsidP="004072E3">
            <w:pPr>
              <w:rPr>
                <w:rFonts w:ascii="Aptos" w:eastAsia="Calibri Light" w:hAnsi="Aptos" w:cstheme="minorHAnsi"/>
              </w:rPr>
            </w:pPr>
          </w:p>
          <w:p w14:paraId="7C3599E2" w14:textId="1B8D3B6B" w:rsidR="004072E3" w:rsidRPr="0051157C" w:rsidRDefault="004072E3" w:rsidP="004072E3">
            <w:pPr>
              <w:rPr>
                <w:rFonts w:ascii="Aptos" w:eastAsia="Calibri Light" w:hAnsi="Aptos" w:cstheme="minorHAnsi"/>
              </w:rPr>
            </w:pPr>
            <w:r w:rsidRPr="0051157C">
              <w:rPr>
                <w:rFonts w:ascii="Aptos" w:eastAsia="Calibri Light" w:hAnsi="Aptos" w:cstheme="minorHAnsi"/>
              </w:rPr>
              <w:t>We note that while the foregoing understanding is consistent across multiple Commonwealth jurisdictions, the provision as</w:t>
            </w:r>
            <w:r w:rsidR="00B3010E">
              <w:rPr>
                <w:rFonts w:ascii="Aptos" w:eastAsia="Calibri Light" w:hAnsi="Aptos" w:cstheme="minorHAnsi"/>
              </w:rPr>
              <w:t xml:space="preserve"> per Paragraph 4 of the Legal Notice No 37 </w:t>
            </w:r>
            <w:r w:rsidRPr="0051157C">
              <w:rPr>
                <w:rFonts w:ascii="Aptos" w:eastAsia="Calibri Light" w:hAnsi="Aptos" w:cstheme="minorHAnsi"/>
              </w:rPr>
              <w:t xml:space="preserve">is still ambiguous and often susceptible to varied subjective interpretations. Specifically, some quarters hold the position that for financial institutions and other taxpayers involved in lending, only the interest portion of the bad debt is deductible, on account of its </w:t>
            </w:r>
            <w:r w:rsidRPr="0051157C">
              <w:rPr>
                <w:rFonts w:ascii="Aptos" w:eastAsia="Calibri Light" w:hAnsi="Aptos" w:cstheme="minorHAnsi"/>
              </w:rPr>
              <w:lastRenderedPageBreak/>
              <w:t>recognition as income in the entities’ profit and loss accounts. The principal element of the bad debt, however, is deemed to be non-deductible, on the understanding that it is capital in nature. This is notwithstanding the fact that the loans advanced are part of these entities’ core income generating business.</w:t>
            </w:r>
          </w:p>
          <w:p w14:paraId="2F5D63B8" w14:textId="77777777" w:rsidR="004072E3" w:rsidRPr="0051157C" w:rsidRDefault="004072E3" w:rsidP="004072E3">
            <w:pPr>
              <w:rPr>
                <w:rFonts w:ascii="Aptos" w:eastAsia="Calibri Light" w:hAnsi="Aptos" w:cstheme="minorHAnsi"/>
              </w:rPr>
            </w:pPr>
          </w:p>
          <w:p w14:paraId="36A4ABD7" w14:textId="299F9509" w:rsidR="004072E3" w:rsidRPr="0051157C" w:rsidRDefault="004072E3" w:rsidP="004072E3">
            <w:pPr>
              <w:rPr>
                <w:rFonts w:ascii="Aptos" w:eastAsia="Calibri Light" w:hAnsi="Aptos" w:cstheme="minorHAnsi"/>
              </w:rPr>
            </w:pPr>
            <w:r w:rsidRPr="0051157C">
              <w:rPr>
                <w:rFonts w:ascii="Aptos" w:eastAsia="Calibri Light" w:hAnsi="Aptos" w:cstheme="minorHAnsi"/>
              </w:rPr>
              <w:t xml:space="preserve">In our considered view, bad debts incurred by such businesses are a direct consequence of lending, which is their core business. Such bad debts should therefore be allowable, inclusive of both the principal and interest elements. We note that this is also the practice in several other Commonwealth jurisdictions, including the United Kingdom, Australia and Malta. As such, to provide certainty not just for our members but also for other money lending businesses, we recommend that </w:t>
            </w:r>
            <w:r w:rsidR="006766A3">
              <w:rPr>
                <w:rFonts w:ascii="Aptos" w:eastAsia="Calibri Light" w:hAnsi="Aptos" w:cstheme="minorHAnsi"/>
              </w:rPr>
              <w:t>the law be</w:t>
            </w:r>
            <w:r w:rsidRPr="0051157C">
              <w:rPr>
                <w:rFonts w:ascii="Aptos" w:eastAsia="Calibri Light" w:hAnsi="Aptos" w:cstheme="minorHAnsi"/>
              </w:rPr>
              <w:t xml:space="preserve"> amended to clarify that qualifying bad debts shall be allowed in full for income tax purposes, and not partially by only considering the interest portion of the debts.</w:t>
            </w:r>
          </w:p>
          <w:p w14:paraId="5ACF8E16" w14:textId="77777777" w:rsidR="004072E3" w:rsidRPr="0051157C" w:rsidRDefault="004072E3" w:rsidP="004072E3">
            <w:pPr>
              <w:jc w:val="both"/>
              <w:rPr>
                <w:rFonts w:ascii="Aptos" w:hAnsi="Aptos" w:cstheme="majorHAnsi"/>
                <w:bCs/>
              </w:rPr>
            </w:pPr>
          </w:p>
        </w:tc>
      </w:tr>
      <w:tr w:rsidR="00523818" w:rsidRPr="0051157C" w14:paraId="12C8CCC0" w14:textId="77777777" w:rsidTr="0002499D">
        <w:tc>
          <w:tcPr>
            <w:tcW w:w="14454" w:type="dxa"/>
            <w:gridSpan w:val="4"/>
          </w:tcPr>
          <w:p w14:paraId="3BC1BEFD" w14:textId="78D2E619" w:rsidR="00523818" w:rsidRPr="0051157C" w:rsidRDefault="00523818" w:rsidP="00E9775B">
            <w:pPr>
              <w:pStyle w:val="ListParagraph"/>
              <w:numPr>
                <w:ilvl w:val="0"/>
                <w:numId w:val="2"/>
              </w:numPr>
              <w:jc w:val="center"/>
              <w:rPr>
                <w:rFonts w:ascii="Aptos" w:hAnsi="Aptos" w:cstheme="majorHAnsi"/>
                <w:bCs/>
              </w:rPr>
            </w:pPr>
            <w:r w:rsidRPr="0051157C">
              <w:rPr>
                <w:rFonts w:ascii="Aptos" w:hAnsi="Aptos" w:cstheme="minorHAnsi"/>
                <w:b/>
              </w:rPr>
              <w:lastRenderedPageBreak/>
              <w:t>Income Tax- Personal</w:t>
            </w:r>
          </w:p>
        </w:tc>
      </w:tr>
      <w:tr w:rsidR="00B643DB" w:rsidRPr="0051157C" w14:paraId="27BCCA23" w14:textId="77777777" w:rsidTr="0047377F">
        <w:tc>
          <w:tcPr>
            <w:tcW w:w="14454" w:type="dxa"/>
            <w:gridSpan w:val="4"/>
          </w:tcPr>
          <w:p w14:paraId="0395DFF1" w14:textId="7A10EC21" w:rsidR="00B643DB" w:rsidRPr="0051157C" w:rsidRDefault="00B643DB" w:rsidP="00050336">
            <w:pPr>
              <w:jc w:val="both"/>
              <w:rPr>
                <w:rFonts w:ascii="Aptos" w:eastAsia="Calibri Light" w:hAnsi="Aptos" w:cstheme="minorHAnsi"/>
              </w:rPr>
            </w:pPr>
            <w:r>
              <w:rPr>
                <w:rFonts w:ascii="Aptos" w:hAnsi="Aptos" w:cstheme="minorHAnsi"/>
                <w:b/>
                <w:bCs/>
              </w:rPr>
              <w:t>Proposals not in the Bill</w:t>
            </w:r>
          </w:p>
        </w:tc>
      </w:tr>
      <w:tr w:rsidR="00A47F5B" w:rsidRPr="0051157C" w14:paraId="2BF71EBD" w14:textId="77777777" w:rsidTr="009A3429">
        <w:tc>
          <w:tcPr>
            <w:tcW w:w="535" w:type="dxa"/>
          </w:tcPr>
          <w:p w14:paraId="1E721931" w14:textId="4536CB34" w:rsidR="00A47F5B" w:rsidRPr="0051157C" w:rsidRDefault="00A47F5B" w:rsidP="00A47F5B">
            <w:pPr>
              <w:jc w:val="both"/>
              <w:rPr>
                <w:rFonts w:ascii="Aptos" w:hAnsi="Aptos" w:cstheme="minorHAnsi"/>
                <w:b/>
              </w:rPr>
            </w:pPr>
            <w:r>
              <w:rPr>
                <w:rFonts w:ascii="Aptos" w:hAnsi="Aptos" w:cstheme="minorHAnsi"/>
                <w:b/>
              </w:rPr>
              <w:lastRenderedPageBreak/>
              <w:t xml:space="preserve">1. </w:t>
            </w:r>
          </w:p>
        </w:tc>
        <w:tc>
          <w:tcPr>
            <w:tcW w:w="1949" w:type="dxa"/>
          </w:tcPr>
          <w:p w14:paraId="44D7CB88" w14:textId="77777777" w:rsidR="00A47F5B" w:rsidRPr="00A47F5B" w:rsidRDefault="00A47F5B" w:rsidP="00A47F5B">
            <w:pPr>
              <w:rPr>
                <w:rFonts w:ascii="Aptos" w:eastAsiaTheme="minorEastAsia" w:hAnsi="Aptos" w:cstheme="minorHAnsi"/>
                <w:b/>
                <w:bCs/>
                <w:sz w:val="20"/>
                <w:szCs w:val="20"/>
              </w:rPr>
            </w:pPr>
            <w:r w:rsidRPr="00A47F5B">
              <w:rPr>
                <w:rFonts w:ascii="Aptos" w:eastAsiaTheme="minorEastAsia" w:hAnsi="Aptos" w:cstheme="minorHAnsi"/>
                <w:b/>
                <w:bCs/>
                <w:sz w:val="20"/>
                <w:szCs w:val="20"/>
              </w:rPr>
              <w:t>Clause 26 (c)</w:t>
            </w:r>
          </w:p>
          <w:p w14:paraId="25A7EE7C" w14:textId="77777777" w:rsidR="00A47F5B" w:rsidRPr="00A47F5B" w:rsidRDefault="00A47F5B" w:rsidP="00A47F5B">
            <w:pPr>
              <w:rPr>
                <w:rFonts w:ascii="Aptos" w:eastAsiaTheme="minorEastAsia" w:hAnsi="Aptos" w:cstheme="minorHAnsi"/>
                <w:b/>
                <w:bCs/>
                <w:sz w:val="20"/>
                <w:szCs w:val="20"/>
              </w:rPr>
            </w:pPr>
          </w:p>
          <w:p w14:paraId="1A3D29CC" w14:textId="3674C8DD" w:rsidR="00A47F5B" w:rsidRPr="00A47F5B" w:rsidRDefault="00A47F5B" w:rsidP="00A47F5B">
            <w:pPr>
              <w:jc w:val="both"/>
              <w:rPr>
                <w:rFonts w:ascii="Aptos" w:hAnsi="Aptos" w:cstheme="minorHAnsi"/>
                <w:b/>
                <w:bCs/>
              </w:rPr>
            </w:pPr>
            <w:r w:rsidRPr="00A47F5B">
              <w:rPr>
                <w:rFonts w:ascii="Aptos" w:eastAsiaTheme="minorEastAsia" w:hAnsi="Aptos" w:cstheme="minorHAnsi"/>
                <w:sz w:val="20"/>
                <w:szCs w:val="20"/>
              </w:rPr>
              <w:t>Payments of gratuity and other allowances under pension schemes</w:t>
            </w:r>
          </w:p>
        </w:tc>
        <w:tc>
          <w:tcPr>
            <w:tcW w:w="7636" w:type="dxa"/>
          </w:tcPr>
          <w:p w14:paraId="394A9A81" w14:textId="77777777" w:rsidR="00A47F5B" w:rsidRPr="00A47F5B" w:rsidRDefault="00A47F5B" w:rsidP="00A47F5B">
            <w:pPr>
              <w:jc w:val="both"/>
              <w:rPr>
                <w:rFonts w:ascii="Aptos" w:hAnsi="Aptos" w:cstheme="majorHAnsi"/>
                <w:sz w:val="20"/>
                <w:szCs w:val="20"/>
                <w:lang w:val="en-US"/>
              </w:rPr>
            </w:pPr>
            <w:r w:rsidRPr="00A47F5B">
              <w:rPr>
                <w:rFonts w:ascii="Aptos" w:hAnsi="Aptos" w:cstheme="majorHAnsi"/>
                <w:sz w:val="20"/>
                <w:szCs w:val="20"/>
                <w:lang w:val="en-US"/>
              </w:rPr>
              <w:t>The Bill proposes to amend proviso to paragraph 53 of the First Schedule to the Income Tax Act by deleting subparagraph (a) and substituting it with the following subparagraphs:</w:t>
            </w:r>
          </w:p>
          <w:p w14:paraId="7E1626FE" w14:textId="77777777" w:rsidR="00A47F5B" w:rsidRPr="00A47F5B" w:rsidRDefault="00A47F5B" w:rsidP="00A47F5B">
            <w:pPr>
              <w:jc w:val="both"/>
              <w:rPr>
                <w:rFonts w:ascii="Aptos" w:hAnsi="Aptos" w:cstheme="majorHAnsi"/>
                <w:sz w:val="20"/>
                <w:szCs w:val="20"/>
                <w:lang w:val="en-US"/>
              </w:rPr>
            </w:pPr>
          </w:p>
          <w:p w14:paraId="32E2E033" w14:textId="77777777" w:rsidR="00A47F5B" w:rsidRPr="00A47F5B" w:rsidRDefault="00A47F5B" w:rsidP="00E9775B">
            <w:pPr>
              <w:pStyle w:val="ListParagraph"/>
              <w:numPr>
                <w:ilvl w:val="0"/>
                <w:numId w:val="17"/>
              </w:numPr>
              <w:jc w:val="both"/>
              <w:rPr>
                <w:rFonts w:ascii="Aptos" w:hAnsi="Aptos" w:cstheme="majorHAnsi"/>
                <w:sz w:val="20"/>
                <w:szCs w:val="20"/>
                <w:lang w:val="en-US"/>
              </w:rPr>
            </w:pPr>
            <w:r w:rsidRPr="00A47F5B">
              <w:rPr>
                <w:rFonts w:ascii="Aptos" w:hAnsi="Aptos" w:cstheme="majorHAnsi"/>
                <w:sz w:val="20"/>
                <w:szCs w:val="20"/>
                <w:lang w:val="en-US"/>
              </w:rPr>
              <w:t>Payment of gratuity</w:t>
            </w:r>
          </w:p>
          <w:p w14:paraId="44BFDD2B" w14:textId="77777777" w:rsidR="00A47F5B" w:rsidRPr="00A47F5B" w:rsidRDefault="00A47F5B" w:rsidP="00A47F5B">
            <w:pPr>
              <w:ind w:left="360"/>
              <w:jc w:val="both"/>
              <w:rPr>
                <w:rFonts w:ascii="Aptos" w:hAnsi="Aptos" w:cstheme="majorHAnsi"/>
                <w:sz w:val="20"/>
                <w:szCs w:val="20"/>
                <w:lang w:val="en-US"/>
              </w:rPr>
            </w:pPr>
            <w:r w:rsidRPr="00A47F5B">
              <w:rPr>
                <w:rFonts w:ascii="Aptos" w:hAnsi="Aptos" w:cstheme="majorHAnsi"/>
                <w:sz w:val="20"/>
                <w:szCs w:val="20"/>
                <w:lang w:val="en-US"/>
              </w:rPr>
              <w:t>(aa) Other allowances paid under a public pension scheme.</w:t>
            </w:r>
          </w:p>
          <w:p w14:paraId="0F948FE5" w14:textId="77777777" w:rsidR="00A47F5B" w:rsidRPr="00A47F5B" w:rsidRDefault="00A47F5B" w:rsidP="00A47F5B">
            <w:pPr>
              <w:ind w:left="360"/>
              <w:jc w:val="both"/>
              <w:rPr>
                <w:rFonts w:ascii="Aptos" w:hAnsi="Aptos" w:cstheme="majorHAnsi"/>
                <w:sz w:val="20"/>
                <w:szCs w:val="20"/>
                <w:lang w:val="en-US"/>
              </w:rPr>
            </w:pPr>
          </w:p>
          <w:p w14:paraId="5160EC6D" w14:textId="77777777" w:rsidR="00A47F5B" w:rsidRPr="00A47F5B" w:rsidRDefault="00A47F5B" w:rsidP="00A47F5B">
            <w:pPr>
              <w:jc w:val="both"/>
              <w:rPr>
                <w:rFonts w:ascii="Aptos" w:hAnsi="Aptos" w:cstheme="majorHAnsi"/>
                <w:sz w:val="20"/>
                <w:szCs w:val="20"/>
                <w:lang w:val="en-US"/>
              </w:rPr>
            </w:pPr>
            <w:r w:rsidRPr="00A47F5B">
              <w:rPr>
                <w:rFonts w:ascii="Aptos" w:hAnsi="Aptos" w:cstheme="majorHAnsi"/>
                <w:sz w:val="20"/>
                <w:szCs w:val="20"/>
                <w:lang w:val="en-US"/>
              </w:rPr>
              <w:t>We propose proviso to Paragraph 53 of the First Schedule to the Income Tax Act be amended by substituting it with the following subparagraphs:</w:t>
            </w:r>
          </w:p>
          <w:p w14:paraId="0E5B0032" w14:textId="77777777" w:rsidR="00A47F5B" w:rsidRPr="00A47F5B" w:rsidRDefault="00A47F5B" w:rsidP="00A47F5B">
            <w:pPr>
              <w:jc w:val="both"/>
              <w:rPr>
                <w:rFonts w:ascii="Aptos" w:hAnsi="Aptos" w:cstheme="majorHAnsi"/>
                <w:sz w:val="20"/>
                <w:szCs w:val="20"/>
                <w:lang w:val="en-US"/>
              </w:rPr>
            </w:pPr>
          </w:p>
          <w:p w14:paraId="54233589" w14:textId="77777777" w:rsidR="00A47F5B" w:rsidRPr="00A47F5B" w:rsidRDefault="00A47F5B" w:rsidP="00E9775B">
            <w:pPr>
              <w:pStyle w:val="ListParagraph"/>
              <w:numPr>
                <w:ilvl w:val="0"/>
                <w:numId w:val="18"/>
              </w:numPr>
              <w:jc w:val="both"/>
              <w:rPr>
                <w:rFonts w:ascii="Aptos" w:hAnsi="Aptos" w:cstheme="majorHAnsi"/>
                <w:sz w:val="20"/>
                <w:szCs w:val="20"/>
                <w:lang w:val="en-US"/>
              </w:rPr>
            </w:pPr>
            <w:r w:rsidRPr="00A47F5B">
              <w:rPr>
                <w:rFonts w:ascii="Aptos" w:hAnsi="Aptos" w:cstheme="majorHAnsi"/>
                <w:sz w:val="20"/>
                <w:szCs w:val="20"/>
                <w:lang w:val="en-US"/>
              </w:rPr>
              <w:t>Payment of gratuity</w:t>
            </w:r>
          </w:p>
          <w:p w14:paraId="65C9AB86" w14:textId="77777777" w:rsidR="00A47F5B" w:rsidRPr="00A47F5B" w:rsidRDefault="00A47F5B" w:rsidP="00A47F5B">
            <w:pPr>
              <w:ind w:left="360"/>
              <w:jc w:val="both"/>
              <w:rPr>
                <w:rFonts w:ascii="Aptos" w:hAnsi="Aptos" w:cstheme="majorHAnsi"/>
                <w:sz w:val="20"/>
                <w:szCs w:val="20"/>
                <w:lang w:val="en-US"/>
              </w:rPr>
            </w:pPr>
            <w:r w:rsidRPr="00A47F5B">
              <w:rPr>
                <w:rFonts w:ascii="Aptos" w:hAnsi="Aptos" w:cstheme="majorHAnsi"/>
                <w:sz w:val="20"/>
                <w:szCs w:val="20"/>
                <w:lang w:val="en-US"/>
              </w:rPr>
              <w:t>(aa) Other allowances paid under a pension scheme.</w:t>
            </w:r>
          </w:p>
          <w:p w14:paraId="3779250B" w14:textId="77777777" w:rsidR="00A47F5B" w:rsidRPr="00A47F5B" w:rsidRDefault="00A47F5B" w:rsidP="00A47F5B">
            <w:pPr>
              <w:jc w:val="both"/>
              <w:rPr>
                <w:rFonts w:ascii="Aptos" w:hAnsi="Aptos" w:cstheme="majorHAnsi"/>
                <w:bCs/>
              </w:rPr>
            </w:pPr>
          </w:p>
        </w:tc>
        <w:tc>
          <w:tcPr>
            <w:tcW w:w="4334" w:type="dxa"/>
          </w:tcPr>
          <w:p w14:paraId="04C61CF5" w14:textId="77777777" w:rsidR="00A47F5B" w:rsidRPr="00A47F5B" w:rsidRDefault="00A47F5B" w:rsidP="00A47F5B">
            <w:pPr>
              <w:jc w:val="both"/>
              <w:rPr>
                <w:rFonts w:ascii="Aptos" w:hAnsi="Aptos" w:cstheme="majorHAnsi"/>
                <w:sz w:val="20"/>
                <w:szCs w:val="20"/>
                <w:lang w:val="en-US"/>
              </w:rPr>
            </w:pPr>
            <w:r w:rsidRPr="00A47F5B">
              <w:rPr>
                <w:rFonts w:ascii="Aptos" w:hAnsi="Aptos" w:cstheme="majorHAnsi"/>
                <w:sz w:val="20"/>
                <w:szCs w:val="20"/>
                <w:lang w:val="en-US"/>
              </w:rPr>
              <w:t xml:space="preserve">In our view, the current proposal in the bill is welcome to the extent that gratuity paid out of public and private schemes will not be exempt from tax. However, the discrimination between public and private pension schemes is perpetuated by the proposal to exempt only other allowances paid out of a public pension scheme. </w:t>
            </w:r>
          </w:p>
          <w:p w14:paraId="3F519E59" w14:textId="77777777" w:rsidR="00A47F5B" w:rsidRPr="00A47F5B" w:rsidRDefault="00A47F5B" w:rsidP="00A47F5B">
            <w:pPr>
              <w:jc w:val="both"/>
              <w:rPr>
                <w:rFonts w:ascii="Aptos" w:hAnsi="Aptos" w:cstheme="majorHAnsi"/>
                <w:sz w:val="20"/>
                <w:szCs w:val="20"/>
                <w:lang w:val="en-US"/>
              </w:rPr>
            </w:pPr>
          </w:p>
          <w:p w14:paraId="3D8ED7BC" w14:textId="393490C7" w:rsidR="00A47F5B" w:rsidRPr="00A47F5B" w:rsidRDefault="00A47F5B" w:rsidP="00A47F5B">
            <w:pPr>
              <w:jc w:val="both"/>
              <w:rPr>
                <w:rFonts w:ascii="Aptos" w:eastAsia="Calibri Light" w:hAnsi="Aptos" w:cstheme="minorHAnsi"/>
              </w:rPr>
            </w:pPr>
            <w:r w:rsidRPr="00A47F5B">
              <w:rPr>
                <w:rFonts w:ascii="Aptos" w:hAnsi="Aptos" w:cstheme="majorHAnsi"/>
                <w:sz w:val="20"/>
                <w:szCs w:val="20"/>
                <w:lang w:val="en-US"/>
              </w:rPr>
              <w:t>We recommend that the current proposal in the Bill be amended as suggested to extend the exemption of other allowances paid out of a public pension scheme to private pension schemes to address this discrimination.</w:t>
            </w:r>
          </w:p>
        </w:tc>
      </w:tr>
      <w:tr w:rsidR="00A47F5B" w:rsidRPr="0051157C" w14:paraId="23C09CD5" w14:textId="77777777" w:rsidTr="009A3429">
        <w:tc>
          <w:tcPr>
            <w:tcW w:w="535" w:type="dxa"/>
          </w:tcPr>
          <w:p w14:paraId="6AE8966F" w14:textId="3A46FD3A" w:rsidR="00A47F5B" w:rsidRPr="0051157C" w:rsidRDefault="00A47F5B" w:rsidP="00A47F5B">
            <w:pPr>
              <w:jc w:val="both"/>
              <w:rPr>
                <w:rFonts w:ascii="Aptos" w:hAnsi="Aptos" w:cstheme="minorHAnsi"/>
                <w:b/>
              </w:rPr>
            </w:pPr>
            <w:r>
              <w:rPr>
                <w:rFonts w:ascii="Aptos" w:hAnsi="Aptos" w:cstheme="minorHAnsi"/>
                <w:b/>
              </w:rPr>
              <w:t>2</w:t>
            </w:r>
            <w:r w:rsidRPr="0051157C">
              <w:rPr>
                <w:rFonts w:ascii="Aptos" w:hAnsi="Aptos" w:cstheme="minorHAnsi"/>
                <w:b/>
              </w:rPr>
              <w:t>.</w:t>
            </w:r>
          </w:p>
        </w:tc>
        <w:tc>
          <w:tcPr>
            <w:tcW w:w="1949" w:type="dxa"/>
          </w:tcPr>
          <w:p w14:paraId="28005764" w14:textId="36F04C7C" w:rsidR="00A47F5B" w:rsidRPr="0036586C" w:rsidRDefault="00A47F5B" w:rsidP="00A47F5B">
            <w:pPr>
              <w:jc w:val="both"/>
              <w:rPr>
                <w:rFonts w:ascii="Aptos" w:hAnsi="Aptos" w:cstheme="minorHAnsi"/>
                <w:b/>
                <w:bCs/>
              </w:rPr>
            </w:pPr>
            <w:r>
              <w:rPr>
                <w:rFonts w:ascii="Aptos" w:hAnsi="Aptos" w:cstheme="minorHAnsi"/>
                <w:b/>
                <w:bCs/>
              </w:rPr>
              <w:t>Paragraph 1, Head B, Third Schedule to the ITA</w:t>
            </w:r>
          </w:p>
          <w:p w14:paraId="74C752B4" w14:textId="77777777" w:rsidR="00A47F5B" w:rsidRPr="0051157C" w:rsidRDefault="00A47F5B" w:rsidP="00A47F5B">
            <w:pPr>
              <w:jc w:val="both"/>
              <w:rPr>
                <w:rFonts w:ascii="Aptos" w:hAnsi="Aptos" w:cstheme="minorHAnsi"/>
                <w:b/>
                <w:bCs/>
              </w:rPr>
            </w:pPr>
          </w:p>
          <w:p w14:paraId="302570B8" w14:textId="173C0638" w:rsidR="00A47F5B" w:rsidRPr="0036586C" w:rsidRDefault="00A47F5B" w:rsidP="00A47F5B">
            <w:pPr>
              <w:jc w:val="both"/>
              <w:rPr>
                <w:rFonts w:ascii="Aptos" w:hAnsi="Aptos" w:cstheme="minorHAnsi"/>
                <w:b/>
                <w:bCs/>
              </w:rPr>
            </w:pPr>
            <w:r w:rsidRPr="0036586C">
              <w:rPr>
                <w:rFonts w:ascii="Aptos" w:hAnsi="Aptos" w:cstheme="minorHAnsi"/>
                <w:b/>
                <w:bCs/>
              </w:rPr>
              <w:t>Expansion of PAYE bands</w:t>
            </w:r>
          </w:p>
          <w:p w14:paraId="77E01F53" w14:textId="77777777" w:rsidR="00A47F5B" w:rsidRPr="0051157C" w:rsidRDefault="00A47F5B" w:rsidP="00A47F5B">
            <w:pPr>
              <w:jc w:val="both"/>
              <w:rPr>
                <w:rFonts w:ascii="Aptos" w:hAnsi="Aptos" w:cstheme="minorHAnsi"/>
                <w:b/>
              </w:rPr>
            </w:pPr>
          </w:p>
        </w:tc>
        <w:tc>
          <w:tcPr>
            <w:tcW w:w="7636" w:type="dxa"/>
          </w:tcPr>
          <w:p w14:paraId="47B0130A" w14:textId="5EFA7508" w:rsidR="00A47F5B" w:rsidRPr="0051157C" w:rsidRDefault="00A47F5B" w:rsidP="00A47F5B">
            <w:pPr>
              <w:jc w:val="both"/>
              <w:rPr>
                <w:rFonts w:ascii="Aptos" w:hAnsi="Aptos" w:cstheme="majorHAnsi"/>
                <w:bCs/>
              </w:rPr>
            </w:pPr>
            <w:r w:rsidRPr="0051157C">
              <w:rPr>
                <w:rFonts w:ascii="Aptos" w:hAnsi="Aptos" w:cstheme="majorHAnsi"/>
                <w:bCs/>
              </w:rPr>
              <w:t xml:space="preserve">We recommend that the government expands the bands, introduces lower rates within the structure of the bands to facilitate progressivity, and </w:t>
            </w:r>
            <w:r>
              <w:rPr>
                <w:rFonts w:ascii="Aptos" w:hAnsi="Aptos" w:cstheme="majorHAnsi"/>
                <w:bCs/>
              </w:rPr>
              <w:t xml:space="preserve">revises </w:t>
            </w:r>
            <w:r w:rsidRPr="0051157C">
              <w:rPr>
                <w:rFonts w:ascii="Aptos" w:hAnsi="Aptos" w:cstheme="majorHAnsi"/>
                <w:bCs/>
              </w:rPr>
              <w:t xml:space="preserve">the top rate of PAYE </w:t>
            </w:r>
            <w:r>
              <w:rPr>
                <w:rFonts w:ascii="Aptos" w:hAnsi="Aptos" w:cstheme="majorHAnsi"/>
                <w:bCs/>
              </w:rPr>
              <w:t xml:space="preserve">to match </w:t>
            </w:r>
            <w:r w:rsidRPr="0051157C">
              <w:rPr>
                <w:rFonts w:ascii="Aptos" w:hAnsi="Aptos" w:cstheme="majorHAnsi"/>
                <w:bCs/>
              </w:rPr>
              <w:t xml:space="preserve"> the corporate income tax rate.</w:t>
            </w:r>
          </w:p>
          <w:p w14:paraId="48D739CE" w14:textId="77777777" w:rsidR="00A47F5B" w:rsidRPr="0051157C" w:rsidRDefault="00A47F5B" w:rsidP="00A47F5B">
            <w:pPr>
              <w:jc w:val="both"/>
              <w:rPr>
                <w:rFonts w:ascii="Aptos" w:hAnsi="Aptos" w:cstheme="majorHAnsi"/>
                <w:bCs/>
              </w:rPr>
            </w:pPr>
          </w:p>
          <w:p w14:paraId="03D15F25" w14:textId="77777777" w:rsidR="00A47F5B" w:rsidRPr="0051157C" w:rsidRDefault="00A47F5B" w:rsidP="00A47F5B">
            <w:pPr>
              <w:jc w:val="both"/>
              <w:rPr>
                <w:rFonts w:ascii="Aptos" w:hAnsi="Aptos" w:cstheme="majorHAnsi"/>
                <w:bCs/>
              </w:rPr>
            </w:pPr>
            <w:r w:rsidRPr="0051157C">
              <w:rPr>
                <w:rStyle w:val="normaltextrun"/>
                <w:rFonts w:ascii="Aptos" w:hAnsi="Aptos" w:cstheme="majorHAnsi"/>
                <w:color w:val="000000"/>
                <w:shd w:val="clear" w:color="auto" w:fill="FFFFFF"/>
              </w:rPr>
              <w:t xml:space="preserve">More specifically, we recommend the amendment of Paragraph 1 in </w:t>
            </w:r>
            <w:r w:rsidRPr="0051157C">
              <w:rPr>
                <w:rFonts w:ascii="Aptos" w:hAnsi="Aptos" w:cstheme="majorHAnsi"/>
                <w:bCs/>
              </w:rPr>
              <w:t>Head B of the Third Schedule to the ITA to provide for progressive bands of 10%, 17.5%, 25%, 27.5% and 30% as follows:</w:t>
            </w:r>
          </w:p>
          <w:tbl>
            <w:tblPr>
              <w:tblW w:w="6696" w:type="dxa"/>
              <w:tblLook w:val="04A0" w:firstRow="1" w:lastRow="0" w:firstColumn="1" w:lastColumn="0" w:noHBand="0" w:noVBand="1"/>
            </w:tblPr>
            <w:tblGrid>
              <w:gridCol w:w="1400"/>
              <w:gridCol w:w="1400"/>
              <w:gridCol w:w="910"/>
              <w:gridCol w:w="1400"/>
              <w:gridCol w:w="1400"/>
              <w:gridCol w:w="910"/>
            </w:tblGrid>
            <w:tr w:rsidR="00A47F5B" w:rsidRPr="0051157C" w14:paraId="4DE0D651" w14:textId="77777777" w:rsidTr="00F12C92">
              <w:trPr>
                <w:trHeight w:val="880"/>
              </w:trPr>
              <w:tc>
                <w:tcPr>
                  <w:tcW w:w="2438" w:type="dxa"/>
                  <w:gridSpan w:val="2"/>
                  <w:tcBorders>
                    <w:top w:val="nil"/>
                    <w:left w:val="nil"/>
                    <w:bottom w:val="nil"/>
                    <w:right w:val="nil"/>
                  </w:tcBorders>
                  <w:shd w:val="clear" w:color="auto" w:fill="auto"/>
                  <w:noWrap/>
                  <w:vAlign w:val="bottom"/>
                  <w:hideMark/>
                </w:tcPr>
                <w:p w14:paraId="123BB09D" w14:textId="77777777" w:rsidR="00A47F5B" w:rsidRPr="0051157C" w:rsidRDefault="00A47F5B" w:rsidP="00A47F5B">
                  <w:pPr>
                    <w:spacing w:after="0" w:line="240" w:lineRule="auto"/>
                    <w:rPr>
                      <w:rFonts w:ascii="Aptos" w:eastAsia="Times New Roman" w:hAnsi="Aptos" w:cstheme="majorHAnsi"/>
                      <w:b/>
                      <w:bCs/>
                      <w:color w:val="000000"/>
                    </w:rPr>
                  </w:pPr>
                  <w:r w:rsidRPr="0051157C">
                    <w:rPr>
                      <w:rFonts w:ascii="Aptos" w:eastAsia="Times New Roman" w:hAnsi="Aptos" w:cstheme="majorHAnsi"/>
                      <w:b/>
                      <w:bCs/>
                      <w:color w:val="000000"/>
                    </w:rPr>
                    <w:t>Current PAYE rates</w:t>
                  </w:r>
                </w:p>
              </w:tc>
              <w:tc>
                <w:tcPr>
                  <w:tcW w:w="910" w:type="dxa"/>
                  <w:tcBorders>
                    <w:top w:val="nil"/>
                    <w:left w:val="nil"/>
                    <w:bottom w:val="nil"/>
                    <w:right w:val="nil"/>
                  </w:tcBorders>
                  <w:shd w:val="clear" w:color="auto" w:fill="auto"/>
                  <w:noWrap/>
                  <w:vAlign w:val="bottom"/>
                  <w:hideMark/>
                </w:tcPr>
                <w:p w14:paraId="16F323EC" w14:textId="77777777" w:rsidR="00A47F5B" w:rsidRPr="0051157C" w:rsidRDefault="00A47F5B" w:rsidP="00A47F5B">
                  <w:pPr>
                    <w:spacing w:after="0" w:line="240" w:lineRule="auto"/>
                    <w:rPr>
                      <w:rFonts w:ascii="Aptos" w:eastAsia="Times New Roman" w:hAnsi="Aptos" w:cstheme="majorHAnsi"/>
                      <w:b/>
                      <w:bCs/>
                      <w:color w:val="000000"/>
                    </w:rPr>
                  </w:pPr>
                </w:p>
              </w:tc>
              <w:tc>
                <w:tcPr>
                  <w:tcW w:w="2438" w:type="dxa"/>
                  <w:gridSpan w:val="2"/>
                  <w:tcBorders>
                    <w:top w:val="nil"/>
                    <w:left w:val="nil"/>
                    <w:bottom w:val="nil"/>
                    <w:right w:val="nil"/>
                  </w:tcBorders>
                  <w:shd w:val="clear" w:color="auto" w:fill="auto"/>
                  <w:noWrap/>
                  <w:vAlign w:val="bottom"/>
                  <w:hideMark/>
                </w:tcPr>
                <w:p w14:paraId="08B5C0A5" w14:textId="77777777" w:rsidR="00A47F5B" w:rsidRPr="0051157C" w:rsidRDefault="00A47F5B" w:rsidP="00A47F5B">
                  <w:pPr>
                    <w:spacing w:after="0" w:line="240" w:lineRule="auto"/>
                    <w:rPr>
                      <w:rFonts w:ascii="Aptos" w:eastAsia="Times New Roman" w:hAnsi="Aptos" w:cstheme="majorHAnsi"/>
                      <w:b/>
                      <w:bCs/>
                      <w:color w:val="000000"/>
                    </w:rPr>
                  </w:pPr>
                  <w:r w:rsidRPr="0051157C">
                    <w:rPr>
                      <w:rFonts w:ascii="Aptos" w:eastAsia="Times New Roman" w:hAnsi="Aptos" w:cstheme="majorHAnsi"/>
                      <w:b/>
                      <w:bCs/>
                      <w:color w:val="000000"/>
                    </w:rPr>
                    <w:t>Proposed PAYE rates</w:t>
                  </w:r>
                </w:p>
              </w:tc>
              <w:tc>
                <w:tcPr>
                  <w:tcW w:w="910" w:type="dxa"/>
                  <w:tcBorders>
                    <w:top w:val="nil"/>
                    <w:left w:val="nil"/>
                    <w:bottom w:val="nil"/>
                    <w:right w:val="nil"/>
                  </w:tcBorders>
                  <w:shd w:val="clear" w:color="auto" w:fill="auto"/>
                  <w:noWrap/>
                  <w:vAlign w:val="bottom"/>
                  <w:hideMark/>
                </w:tcPr>
                <w:p w14:paraId="3FAC3E5A" w14:textId="77777777" w:rsidR="00A47F5B" w:rsidRPr="0051157C" w:rsidRDefault="00A47F5B" w:rsidP="00A47F5B">
                  <w:pPr>
                    <w:spacing w:after="0" w:line="240" w:lineRule="auto"/>
                    <w:rPr>
                      <w:rFonts w:ascii="Aptos" w:eastAsia="Times New Roman" w:hAnsi="Aptos" w:cstheme="majorHAnsi"/>
                      <w:b/>
                      <w:bCs/>
                      <w:color w:val="000000"/>
                    </w:rPr>
                  </w:pPr>
                </w:p>
              </w:tc>
            </w:tr>
            <w:tr w:rsidR="00A47F5B" w:rsidRPr="0051157C" w14:paraId="0427CB3C" w14:textId="77777777" w:rsidTr="00F12C92">
              <w:trPr>
                <w:trHeight w:val="1050"/>
              </w:trPr>
              <w:tc>
                <w:tcPr>
                  <w:tcW w:w="1219" w:type="dxa"/>
                  <w:tcBorders>
                    <w:top w:val="single" w:sz="8" w:space="0" w:color="A7A7A7"/>
                    <w:left w:val="single" w:sz="8" w:space="0" w:color="A7A7A7"/>
                    <w:bottom w:val="single" w:sz="8" w:space="0" w:color="A7A7A7"/>
                    <w:right w:val="single" w:sz="8" w:space="0" w:color="A7A7A7"/>
                  </w:tcBorders>
                  <w:shd w:val="clear" w:color="000000" w:fill="92D050"/>
                  <w:vAlign w:val="center"/>
                  <w:hideMark/>
                </w:tcPr>
                <w:p w14:paraId="458AB02D" w14:textId="77777777" w:rsidR="00A47F5B" w:rsidRPr="0051157C" w:rsidRDefault="00A47F5B" w:rsidP="00A47F5B">
                  <w:pPr>
                    <w:spacing w:after="0" w:line="240" w:lineRule="auto"/>
                    <w:rPr>
                      <w:rFonts w:ascii="Aptos" w:eastAsia="Times New Roman" w:hAnsi="Aptos" w:cstheme="majorHAnsi"/>
                      <w:b/>
                      <w:bCs/>
                      <w:color w:val="FFFFFF"/>
                    </w:rPr>
                  </w:pPr>
                  <w:r w:rsidRPr="0051157C">
                    <w:rPr>
                      <w:rFonts w:ascii="Aptos" w:eastAsia="Times New Roman" w:hAnsi="Aptos" w:cstheme="majorHAnsi"/>
                      <w:b/>
                      <w:bCs/>
                      <w:color w:val="FFFFFF"/>
                    </w:rPr>
                    <w:t>Monthly Pay Bands (Ksh.)</w:t>
                  </w:r>
                </w:p>
              </w:tc>
              <w:tc>
                <w:tcPr>
                  <w:tcW w:w="1219" w:type="dxa"/>
                  <w:tcBorders>
                    <w:top w:val="single" w:sz="8" w:space="0" w:color="A7A7A7"/>
                    <w:left w:val="nil"/>
                    <w:bottom w:val="single" w:sz="8" w:space="0" w:color="A7A7A7"/>
                    <w:right w:val="single" w:sz="8" w:space="0" w:color="A7A7A7"/>
                  </w:tcBorders>
                  <w:shd w:val="clear" w:color="000000" w:fill="92D050"/>
                  <w:vAlign w:val="center"/>
                  <w:hideMark/>
                </w:tcPr>
                <w:p w14:paraId="74958483" w14:textId="77777777" w:rsidR="00A47F5B" w:rsidRPr="0051157C" w:rsidRDefault="00A47F5B" w:rsidP="00A47F5B">
                  <w:pPr>
                    <w:spacing w:after="0" w:line="240" w:lineRule="auto"/>
                    <w:rPr>
                      <w:rFonts w:ascii="Aptos" w:eastAsia="Times New Roman" w:hAnsi="Aptos" w:cstheme="majorHAnsi"/>
                      <w:b/>
                      <w:bCs/>
                      <w:color w:val="FFFFFF"/>
                    </w:rPr>
                  </w:pPr>
                  <w:r w:rsidRPr="0051157C">
                    <w:rPr>
                      <w:rFonts w:ascii="Aptos" w:eastAsia="Times New Roman" w:hAnsi="Aptos" w:cstheme="majorHAnsi"/>
                      <w:b/>
                      <w:bCs/>
                      <w:color w:val="FFFFFF"/>
                    </w:rPr>
                    <w:t>Annual Pay Bands (Ksh.)</w:t>
                  </w:r>
                </w:p>
              </w:tc>
              <w:tc>
                <w:tcPr>
                  <w:tcW w:w="910" w:type="dxa"/>
                  <w:tcBorders>
                    <w:top w:val="single" w:sz="8" w:space="0" w:color="A7A7A7"/>
                    <w:left w:val="nil"/>
                    <w:bottom w:val="single" w:sz="8" w:space="0" w:color="A7A7A7"/>
                    <w:right w:val="single" w:sz="8" w:space="0" w:color="A7A7A7"/>
                  </w:tcBorders>
                  <w:shd w:val="clear" w:color="000000" w:fill="92D050"/>
                  <w:vAlign w:val="center"/>
                  <w:hideMark/>
                </w:tcPr>
                <w:p w14:paraId="27099173" w14:textId="77777777" w:rsidR="00A47F5B" w:rsidRPr="0051157C" w:rsidRDefault="00A47F5B" w:rsidP="00A47F5B">
                  <w:pPr>
                    <w:spacing w:after="0" w:line="240" w:lineRule="auto"/>
                    <w:rPr>
                      <w:rFonts w:ascii="Aptos" w:eastAsia="Times New Roman" w:hAnsi="Aptos" w:cstheme="majorHAnsi"/>
                      <w:b/>
                      <w:bCs/>
                      <w:color w:val="FFFFFF"/>
                    </w:rPr>
                  </w:pPr>
                  <w:r w:rsidRPr="0051157C">
                    <w:rPr>
                      <w:rFonts w:ascii="Aptos" w:eastAsia="Times New Roman" w:hAnsi="Aptos" w:cstheme="majorHAnsi"/>
                      <w:b/>
                      <w:bCs/>
                      <w:color w:val="FFFFFF"/>
                    </w:rPr>
                    <w:t>Rate of Tax (%)</w:t>
                  </w:r>
                </w:p>
              </w:tc>
              <w:tc>
                <w:tcPr>
                  <w:tcW w:w="1219" w:type="dxa"/>
                  <w:tcBorders>
                    <w:top w:val="single" w:sz="8" w:space="0" w:color="A7A7A7"/>
                    <w:left w:val="nil"/>
                    <w:bottom w:val="single" w:sz="8" w:space="0" w:color="A7A7A7"/>
                    <w:right w:val="single" w:sz="8" w:space="0" w:color="A7A7A7"/>
                  </w:tcBorders>
                  <w:shd w:val="clear" w:color="000000" w:fill="92D050"/>
                  <w:vAlign w:val="center"/>
                  <w:hideMark/>
                </w:tcPr>
                <w:p w14:paraId="351DA5FF" w14:textId="77777777" w:rsidR="00A47F5B" w:rsidRPr="0051157C" w:rsidRDefault="00A47F5B" w:rsidP="00A47F5B">
                  <w:pPr>
                    <w:spacing w:after="0" w:line="240" w:lineRule="auto"/>
                    <w:rPr>
                      <w:rFonts w:ascii="Aptos" w:eastAsia="Times New Roman" w:hAnsi="Aptos" w:cstheme="majorHAnsi"/>
                      <w:b/>
                      <w:bCs/>
                      <w:color w:val="FFFFFF"/>
                    </w:rPr>
                  </w:pPr>
                  <w:r w:rsidRPr="0051157C">
                    <w:rPr>
                      <w:rFonts w:ascii="Aptos" w:eastAsia="Times New Roman" w:hAnsi="Aptos" w:cstheme="majorHAnsi"/>
                      <w:b/>
                      <w:bCs/>
                      <w:color w:val="FFFFFF"/>
                    </w:rPr>
                    <w:t>Monthly Pay Bands (Ksh.)</w:t>
                  </w:r>
                </w:p>
              </w:tc>
              <w:tc>
                <w:tcPr>
                  <w:tcW w:w="1219" w:type="dxa"/>
                  <w:tcBorders>
                    <w:top w:val="single" w:sz="8" w:space="0" w:color="A7A7A7"/>
                    <w:left w:val="nil"/>
                    <w:bottom w:val="single" w:sz="8" w:space="0" w:color="A7A7A7"/>
                    <w:right w:val="single" w:sz="8" w:space="0" w:color="A7A7A7"/>
                  </w:tcBorders>
                  <w:shd w:val="clear" w:color="000000" w:fill="92D050"/>
                  <w:vAlign w:val="center"/>
                  <w:hideMark/>
                </w:tcPr>
                <w:p w14:paraId="4D75EA79" w14:textId="77777777" w:rsidR="00A47F5B" w:rsidRPr="0051157C" w:rsidRDefault="00A47F5B" w:rsidP="00A47F5B">
                  <w:pPr>
                    <w:spacing w:after="0" w:line="240" w:lineRule="auto"/>
                    <w:rPr>
                      <w:rFonts w:ascii="Aptos" w:eastAsia="Times New Roman" w:hAnsi="Aptos" w:cstheme="majorHAnsi"/>
                      <w:b/>
                      <w:bCs/>
                      <w:color w:val="FFFFFF"/>
                    </w:rPr>
                  </w:pPr>
                  <w:r w:rsidRPr="0051157C">
                    <w:rPr>
                      <w:rFonts w:ascii="Aptos" w:eastAsia="Times New Roman" w:hAnsi="Aptos" w:cstheme="majorHAnsi"/>
                      <w:b/>
                      <w:bCs/>
                      <w:color w:val="FFFFFF"/>
                    </w:rPr>
                    <w:t>Annual Pay Bands (Ksh.)</w:t>
                  </w:r>
                </w:p>
              </w:tc>
              <w:tc>
                <w:tcPr>
                  <w:tcW w:w="910" w:type="dxa"/>
                  <w:tcBorders>
                    <w:top w:val="single" w:sz="8" w:space="0" w:color="A7A7A7"/>
                    <w:left w:val="nil"/>
                    <w:bottom w:val="single" w:sz="8" w:space="0" w:color="A7A7A7"/>
                    <w:right w:val="single" w:sz="8" w:space="0" w:color="A7A7A7"/>
                  </w:tcBorders>
                  <w:shd w:val="clear" w:color="000000" w:fill="92D050"/>
                  <w:vAlign w:val="center"/>
                  <w:hideMark/>
                </w:tcPr>
                <w:p w14:paraId="3FB0FEB2" w14:textId="77777777" w:rsidR="00A47F5B" w:rsidRPr="0051157C" w:rsidRDefault="00A47F5B" w:rsidP="00A47F5B">
                  <w:pPr>
                    <w:spacing w:after="0" w:line="240" w:lineRule="auto"/>
                    <w:rPr>
                      <w:rFonts w:ascii="Aptos" w:eastAsia="Times New Roman" w:hAnsi="Aptos" w:cstheme="majorHAnsi"/>
                      <w:b/>
                      <w:bCs/>
                      <w:color w:val="FFFFFF"/>
                    </w:rPr>
                  </w:pPr>
                  <w:r w:rsidRPr="0051157C">
                    <w:rPr>
                      <w:rFonts w:ascii="Aptos" w:eastAsia="Times New Roman" w:hAnsi="Aptos" w:cstheme="majorHAnsi"/>
                      <w:b/>
                      <w:bCs/>
                      <w:color w:val="FFFFFF"/>
                    </w:rPr>
                    <w:t>Rate of Tax (%)</w:t>
                  </w:r>
                </w:p>
              </w:tc>
            </w:tr>
            <w:tr w:rsidR="00A47F5B" w:rsidRPr="0051157C" w14:paraId="66C554EE" w14:textId="77777777" w:rsidTr="00F12C92">
              <w:trPr>
                <w:trHeight w:val="790"/>
              </w:trPr>
              <w:tc>
                <w:tcPr>
                  <w:tcW w:w="1219" w:type="dxa"/>
                  <w:tcBorders>
                    <w:top w:val="nil"/>
                    <w:left w:val="single" w:sz="8" w:space="0" w:color="A7A7A7"/>
                    <w:bottom w:val="single" w:sz="8" w:space="0" w:color="A7A7A7"/>
                    <w:right w:val="single" w:sz="8" w:space="0" w:color="A7A7A7"/>
                  </w:tcBorders>
                  <w:shd w:val="clear" w:color="auto" w:fill="auto"/>
                  <w:vAlign w:val="center"/>
                  <w:hideMark/>
                </w:tcPr>
                <w:p w14:paraId="05AC64BD" w14:textId="77777777" w:rsidR="00A47F5B" w:rsidRPr="0051157C" w:rsidRDefault="00A47F5B" w:rsidP="00A47F5B">
                  <w:pPr>
                    <w:spacing w:after="0" w:line="240" w:lineRule="auto"/>
                    <w:rPr>
                      <w:rFonts w:ascii="Aptos" w:eastAsia="Times New Roman" w:hAnsi="Aptos" w:cstheme="majorHAnsi"/>
                    </w:rPr>
                  </w:pPr>
                  <w:r w:rsidRPr="0051157C">
                    <w:rPr>
                      <w:rFonts w:ascii="Aptos" w:eastAsia="Times New Roman" w:hAnsi="Aptos" w:cstheme="majorHAnsi"/>
                    </w:rPr>
                    <w:t>On the first Shs. 24,000</w:t>
                  </w:r>
                </w:p>
              </w:tc>
              <w:tc>
                <w:tcPr>
                  <w:tcW w:w="1219" w:type="dxa"/>
                  <w:tcBorders>
                    <w:top w:val="nil"/>
                    <w:left w:val="nil"/>
                    <w:bottom w:val="single" w:sz="8" w:space="0" w:color="A7A7A7"/>
                    <w:right w:val="single" w:sz="8" w:space="0" w:color="A7A7A7"/>
                  </w:tcBorders>
                  <w:shd w:val="clear" w:color="auto" w:fill="auto"/>
                  <w:vAlign w:val="center"/>
                  <w:hideMark/>
                </w:tcPr>
                <w:p w14:paraId="41A15305" w14:textId="77777777" w:rsidR="00A47F5B" w:rsidRPr="0051157C" w:rsidRDefault="00A47F5B" w:rsidP="00A47F5B">
                  <w:pPr>
                    <w:spacing w:after="0" w:line="240" w:lineRule="auto"/>
                    <w:rPr>
                      <w:rFonts w:ascii="Aptos" w:eastAsia="Times New Roman" w:hAnsi="Aptos" w:cstheme="majorHAnsi"/>
                    </w:rPr>
                  </w:pPr>
                  <w:r w:rsidRPr="0051157C">
                    <w:rPr>
                      <w:rFonts w:ascii="Aptos" w:eastAsia="Times New Roman" w:hAnsi="Aptos" w:cstheme="majorHAnsi"/>
                    </w:rPr>
                    <w:t>On the first Shs. 288,000</w:t>
                  </w:r>
                </w:p>
              </w:tc>
              <w:tc>
                <w:tcPr>
                  <w:tcW w:w="910" w:type="dxa"/>
                  <w:tcBorders>
                    <w:top w:val="nil"/>
                    <w:left w:val="nil"/>
                    <w:bottom w:val="single" w:sz="8" w:space="0" w:color="A7A7A7"/>
                    <w:right w:val="single" w:sz="8" w:space="0" w:color="A7A7A7"/>
                  </w:tcBorders>
                  <w:shd w:val="clear" w:color="auto" w:fill="auto"/>
                  <w:vAlign w:val="center"/>
                  <w:hideMark/>
                </w:tcPr>
                <w:p w14:paraId="64FAAEAC" w14:textId="77777777" w:rsidR="00A47F5B" w:rsidRPr="0051157C" w:rsidRDefault="00A47F5B" w:rsidP="00A47F5B">
                  <w:pPr>
                    <w:spacing w:after="0" w:line="240" w:lineRule="auto"/>
                    <w:jc w:val="right"/>
                    <w:rPr>
                      <w:rFonts w:ascii="Aptos" w:eastAsia="Times New Roman" w:hAnsi="Aptos" w:cstheme="majorHAnsi"/>
                    </w:rPr>
                  </w:pPr>
                  <w:r w:rsidRPr="0051157C">
                    <w:rPr>
                      <w:rFonts w:ascii="Aptos" w:eastAsia="Times New Roman" w:hAnsi="Aptos" w:cstheme="majorHAnsi"/>
                    </w:rPr>
                    <w:t>10</w:t>
                  </w:r>
                </w:p>
              </w:tc>
              <w:tc>
                <w:tcPr>
                  <w:tcW w:w="1219" w:type="dxa"/>
                  <w:tcBorders>
                    <w:top w:val="nil"/>
                    <w:left w:val="nil"/>
                    <w:bottom w:val="single" w:sz="8" w:space="0" w:color="A7A7A7"/>
                    <w:right w:val="single" w:sz="8" w:space="0" w:color="A7A7A7"/>
                  </w:tcBorders>
                  <w:shd w:val="clear" w:color="auto" w:fill="auto"/>
                  <w:vAlign w:val="center"/>
                  <w:hideMark/>
                </w:tcPr>
                <w:p w14:paraId="000BDDBF" w14:textId="77777777" w:rsidR="00A47F5B" w:rsidRPr="0051157C" w:rsidRDefault="00A47F5B" w:rsidP="00A47F5B">
                  <w:pPr>
                    <w:spacing w:after="0" w:line="240" w:lineRule="auto"/>
                    <w:rPr>
                      <w:rFonts w:ascii="Aptos" w:eastAsia="Times New Roman" w:hAnsi="Aptos" w:cstheme="majorHAnsi"/>
                    </w:rPr>
                  </w:pPr>
                  <w:r w:rsidRPr="0051157C">
                    <w:rPr>
                      <w:rFonts w:ascii="Aptos" w:eastAsia="Times New Roman" w:hAnsi="Aptos" w:cstheme="majorHAnsi"/>
                    </w:rPr>
                    <w:t>On the first Shs. 24,000</w:t>
                  </w:r>
                </w:p>
              </w:tc>
              <w:tc>
                <w:tcPr>
                  <w:tcW w:w="1219" w:type="dxa"/>
                  <w:tcBorders>
                    <w:top w:val="nil"/>
                    <w:left w:val="nil"/>
                    <w:bottom w:val="single" w:sz="8" w:space="0" w:color="A7A7A7"/>
                    <w:right w:val="single" w:sz="8" w:space="0" w:color="A7A7A7"/>
                  </w:tcBorders>
                  <w:shd w:val="clear" w:color="auto" w:fill="auto"/>
                  <w:vAlign w:val="center"/>
                  <w:hideMark/>
                </w:tcPr>
                <w:p w14:paraId="62469305" w14:textId="77777777" w:rsidR="00A47F5B" w:rsidRPr="0051157C" w:rsidRDefault="00A47F5B" w:rsidP="00A47F5B">
                  <w:pPr>
                    <w:spacing w:after="0" w:line="240" w:lineRule="auto"/>
                    <w:rPr>
                      <w:rFonts w:ascii="Aptos" w:eastAsia="Times New Roman" w:hAnsi="Aptos" w:cstheme="majorHAnsi"/>
                    </w:rPr>
                  </w:pPr>
                  <w:r w:rsidRPr="0051157C">
                    <w:rPr>
                      <w:rFonts w:ascii="Aptos" w:eastAsia="Times New Roman" w:hAnsi="Aptos" w:cstheme="majorHAnsi"/>
                    </w:rPr>
                    <w:t>On the first Shs. 288,000</w:t>
                  </w:r>
                </w:p>
              </w:tc>
              <w:tc>
                <w:tcPr>
                  <w:tcW w:w="910" w:type="dxa"/>
                  <w:tcBorders>
                    <w:top w:val="nil"/>
                    <w:left w:val="nil"/>
                    <w:bottom w:val="single" w:sz="8" w:space="0" w:color="A7A7A7"/>
                    <w:right w:val="single" w:sz="8" w:space="0" w:color="A7A7A7"/>
                  </w:tcBorders>
                  <w:shd w:val="clear" w:color="auto" w:fill="auto"/>
                  <w:vAlign w:val="center"/>
                  <w:hideMark/>
                </w:tcPr>
                <w:p w14:paraId="48830E38" w14:textId="77777777" w:rsidR="00A47F5B" w:rsidRPr="0051157C" w:rsidRDefault="00A47F5B" w:rsidP="00A47F5B">
                  <w:pPr>
                    <w:spacing w:after="0" w:line="240" w:lineRule="auto"/>
                    <w:jc w:val="right"/>
                    <w:rPr>
                      <w:rFonts w:ascii="Aptos" w:eastAsia="Times New Roman" w:hAnsi="Aptos" w:cstheme="majorHAnsi"/>
                    </w:rPr>
                  </w:pPr>
                  <w:r w:rsidRPr="0051157C">
                    <w:rPr>
                      <w:rFonts w:ascii="Aptos" w:eastAsia="Times New Roman" w:hAnsi="Aptos" w:cstheme="majorHAnsi"/>
                    </w:rPr>
                    <w:t>10</w:t>
                  </w:r>
                </w:p>
              </w:tc>
            </w:tr>
            <w:tr w:rsidR="00A47F5B" w:rsidRPr="0051157C" w14:paraId="3A37577E" w14:textId="77777777" w:rsidTr="00F12C92">
              <w:trPr>
                <w:trHeight w:val="1050"/>
              </w:trPr>
              <w:tc>
                <w:tcPr>
                  <w:tcW w:w="1219" w:type="dxa"/>
                  <w:tcBorders>
                    <w:top w:val="nil"/>
                    <w:left w:val="single" w:sz="8" w:space="0" w:color="A7A7A7"/>
                    <w:bottom w:val="single" w:sz="8" w:space="0" w:color="A7A7A7"/>
                    <w:right w:val="single" w:sz="8" w:space="0" w:color="A7A7A7"/>
                  </w:tcBorders>
                  <w:shd w:val="clear" w:color="auto" w:fill="auto"/>
                  <w:vAlign w:val="center"/>
                  <w:hideMark/>
                </w:tcPr>
                <w:p w14:paraId="3B581F74" w14:textId="77777777" w:rsidR="00A47F5B" w:rsidRPr="0051157C" w:rsidRDefault="00A47F5B" w:rsidP="00A47F5B">
                  <w:pPr>
                    <w:spacing w:after="0" w:line="240" w:lineRule="auto"/>
                    <w:rPr>
                      <w:rFonts w:ascii="Aptos" w:eastAsia="Times New Roman" w:hAnsi="Aptos" w:cstheme="majorHAnsi"/>
                    </w:rPr>
                  </w:pPr>
                  <w:r w:rsidRPr="0051157C">
                    <w:rPr>
                      <w:rFonts w:ascii="Aptos" w:eastAsia="Times New Roman" w:hAnsi="Aptos" w:cstheme="majorHAnsi"/>
                    </w:rPr>
                    <w:lastRenderedPageBreak/>
                    <w:t>On the next Shs. 8,333</w:t>
                  </w:r>
                </w:p>
              </w:tc>
              <w:tc>
                <w:tcPr>
                  <w:tcW w:w="1219" w:type="dxa"/>
                  <w:tcBorders>
                    <w:top w:val="nil"/>
                    <w:left w:val="nil"/>
                    <w:bottom w:val="single" w:sz="8" w:space="0" w:color="A7A7A7"/>
                    <w:right w:val="single" w:sz="8" w:space="0" w:color="A7A7A7"/>
                  </w:tcBorders>
                  <w:shd w:val="clear" w:color="auto" w:fill="auto"/>
                  <w:vAlign w:val="center"/>
                  <w:hideMark/>
                </w:tcPr>
                <w:p w14:paraId="3EBB7BAF" w14:textId="77777777" w:rsidR="00A47F5B" w:rsidRPr="0051157C" w:rsidRDefault="00A47F5B" w:rsidP="00A47F5B">
                  <w:pPr>
                    <w:spacing w:after="0" w:line="240" w:lineRule="auto"/>
                    <w:rPr>
                      <w:rFonts w:ascii="Aptos" w:eastAsia="Times New Roman" w:hAnsi="Aptos" w:cstheme="majorHAnsi"/>
                    </w:rPr>
                  </w:pPr>
                  <w:r w:rsidRPr="0051157C">
                    <w:rPr>
                      <w:rFonts w:ascii="Aptos" w:eastAsia="Times New Roman" w:hAnsi="Aptos" w:cstheme="majorHAnsi"/>
                    </w:rPr>
                    <w:t>On the next Shs.100,000</w:t>
                  </w:r>
                </w:p>
              </w:tc>
              <w:tc>
                <w:tcPr>
                  <w:tcW w:w="910" w:type="dxa"/>
                  <w:tcBorders>
                    <w:top w:val="nil"/>
                    <w:left w:val="nil"/>
                    <w:bottom w:val="single" w:sz="8" w:space="0" w:color="A7A7A7"/>
                    <w:right w:val="single" w:sz="8" w:space="0" w:color="A7A7A7"/>
                  </w:tcBorders>
                  <w:shd w:val="clear" w:color="auto" w:fill="auto"/>
                  <w:vAlign w:val="center"/>
                  <w:hideMark/>
                </w:tcPr>
                <w:p w14:paraId="3984BA8C" w14:textId="77777777" w:rsidR="00A47F5B" w:rsidRPr="0051157C" w:rsidRDefault="00A47F5B" w:rsidP="00A47F5B">
                  <w:pPr>
                    <w:spacing w:after="0" w:line="240" w:lineRule="auto"/>
                    <w:jc w:val="right"/>
                    <w:rPr>
                      <w:rFonts w:ascii="Aptos" w:eastAsia="Times New Roman" w:hAnsi="Aptos" w:cstheme="majorHAnsi"/>
                    </w:rPr>
                  </w:pPr>
                  <w:r w:rsidRPr="0051157C">
                    <w:rPr>
                      <w:rFonts w:ascii="Aptos" w:eastAsia="Times New Roman" w:hAnsi="Aptos" w:cstheme="majorHAnsi"/>
                    </w:rPr>
                    <w:t>25</w:t>
                  </w:r>
                </w:p>
              </w:tc>
              <w:tc>
                <w:tcPr>
                  <w:tcW w:w="1219" w:type="dxa"/>
                  <w:tcBorders>
                    <w:top w:val="nil"/>
                    <w:left w:val="nil"/>
                    <w:bottom w:val="single" w:sz="8" w:space="0" w:color="A7A7A7"/>
                    <w:right w:val="single" w:sz="8" w:space="0" w:color="A7A7A7"/>
                  </w:tcBorders>
                  <w:shd w:val="clear" w:color="auto" w:fill="auto"/>
                  <w:vAlign w:val="center"/>
                  <w:hideMark/>
                </w:tcPr>
                <w:p w14:paraId="33F55BC3" w14:textId="77777777" w:rsidR="00A47F5B" w:rsidRPr="0051157C" w:rsidRDefault="00A47F5B" w:rsidP="00A47F5B">
                  <w:pPr>
                    <w:spacing w:after="0" w:line="240" w:lineRule="auto"/>
                    <w:rPr>
                      <w:rFonts w:ascii="Aptos" w:eastAsia="Times New Roman" w:hAnsi="Aptos" w:cstheme="majorHAnsi"/>
                    </w:rPr>
                  </w:pPr>
                  <w:r w:rsidRPr="0051157C">
                    <w:rPr>
                      <w:rFonts w:ascii="Aptos" w:eastAsia="Times New Roman" w:hAnsi="Aptos" w:cstheme="majorHAnsi"/>
                    </w:rPr>
                    <w:t>On the next Shs. 8,333</w:t>
                  </w:r>
                </w:p>
              </w:tc>
              <w:tc>
                <w:tcPr>
                  <w:tcW w:w="1219" w:type="dxa"/>
                  <w:tcBorders>
                    <w:top w:val="nil"/>
                    <w:left w:val="nil"/>
                    <w:bottom w:val="single" w:sz="8" w:space="0" w:color="A7A7A7"/>
                    <w:right w:val="single" w:sz="8" w:space="0" w:color="A7A7A7"/>
                  </w:tcBorders>
                  <w:shd w:val="clear" w:color="auto" w:fill="auto"/>
                  <w:vAlign w:val="center"/>
                  <w:hideMark/>
                </w:tcPr>
                <w:p w14:paraId="66CE0594" w14:textId="77777777" w:rsidR="00A47F5B" w:rsidRPr="0051157C" w:rsidRDefault="00A47F5B" w:rsidP="00A47F5B">
                  <w:pPr>
                    <w:spacing w:after="0" w:line="240" w:lineRule="auto"/>
                    <w:rPr>
                      <w:rFonts w:ascii="Aptos" w:eastAsia="Times New Roman" w:hAnsi="Aptos" w:cstheme="majorHAnsi"/>
                    </w:rPr>
                  </w:pPr>
                  <w:r w:rsidRPr="0051157C">
                    <w:rPr>
                      <w:rFonts w:ascii="Aptos" w:eastAsia="Times New Roman" w:hAnsi="Aptos" w:cstheme="majorHAnsi"/>
                    </w:rPr>
                    <w:t>On the next Shs.100,000</w:t>
                  </w:r>
                </w:p>
              </w:tc>
              <w:tc>
                <w:tcPr>
                  <w:tcW w:w="910" w:type="dxa"/>
                  <w:tcBorders>
                    <w:top w:val="nil"/>
                    <w:left w:val="nil"/>
                    <w:bottom w:val="single" w:sz="8" w:space="0" w:color="A7A7A7"/>
                    <w:right w:val="single" w:sz="8" w:space="0" w:color="A7A7A7"/>
                  </w:tcBorders>
                  <w:shd w:val="clear" w:color="auto" w:fill="auto"/>
                  <w:vAlign w:val="center"/>
                  <w:hideMark/>
                </w:tcPr>
                <w:p w14:paraId="08B8F262" w14:textId="77777777" w:rsidR="00A47F5B" w:rsidRPr="0051157C" w:rsidRDefault="00A47F5B" w:rsidP="00A47F5B">
                  <w:pPr>
                    <w:spacing w:after="0" w:line="240" w:lineRule="auto"/>
                    <w:jc w:val="right"/>
                    <w:rPr>
                      <w:rFonts w:ascii="Aptos" w:eastAsia="Times New Roman" w:hAnsi="Aptos" w:cstheme="majorHAnsi"/>
                    </w:rPr>
                  </w:pPr>
                  <w:r w:rsidRPr="0051157C">
                    <w:rPr>
                      <w:rFonts w:ascii="Aptos" w:eastAsia="Times New Roman" w:hAnsi="Aptos" w:cstheme="majorHAnsi"/>
                    </w:rPr>
                    <w:t>17.5</w:t>
                  </w:r>
                </w:p>
              </w:tc>
            </w:tr>
            <w:tr w:rsidR="00A47F5B" w:rsidRPr="0051157C" w14:paraId="0D526424" w14:textId="77777777" w:rsidTr="00F12C92">
              <w:trPr>
                <w:trHeight w:val="790"/>
              </w:trPr>
              <w:tc>
                <w:tcPr>
                  <w:tcW w:w="1219" w:type="dxa"/>
                  <w:tcBorders>
                    <w:top w:val="nil"/>
                    <w:left w:val="single" w:sz="8" w:space="0" w:color="A7A7A7"/>
                    <w:bottom w:val="single" w:sz="8" w:space="0" w:color="A7A7A7"/>
                    <w:right w:val="single" w:sz="8" w:space="0" w:color="A7A7A7"/>
                  </w:tcBorders>
                  <w:shd w:val="clear" w:color="auto" w:fill="auto"/>
                  <w:vAlign w:val="center"/>
                  <w:hideMark/>
                </w:tcPr>
                <w:p w14:paraId="782457F5" w14:textId="77777777" w:rsidR="00A47F5B" w:rsidRPr="0051157C" w:rsidRDefault="00A47F5B" w:rsidP="00A47F5B">
                  <w:pPr>
                    <w:spacing w:after="0" w:line="240" w:lineRule="auto"/>
                    <w:rPr>
                      <w:rFonts w:ascii="Aptos" w:eastAsia="Times New Roman" w:hAnsi="Aptos" w:cstheme="majorHAnsi"/>
                    </w:rPr>
                  </w:pPr>
                  <w:r w:rsidRPr="0051157C">
                    <w:rPr>
                      <w:rFonts w:ascii="Aptos" w:eastAsia="Times New Roman" w:hAnsi="Aptos" w:cstheme="majorHAnsi"/>
                    </w:rPr>
                    <w:t>On the next Shs. 467,667</w:t>
                  </w:r>
                </w:p>
              </w:tc>
              <w:tc>
                <w:tcPr>
                  <w:tcW w:w="1219" w:type="dxa"/>
                  <w:tcBorders>
                    <w:top w:val="nil"/>
                    <w:left w:val="nil"/>
                    <w:bottom w:val="single" w:sz="8" w:space="0" w:color="A7A7A7"/>
                    <w:right w:val="single" w:sz="8" w:space="0" w:color="A7A7A7"/>
                  </w:tcBorders>
                  <w:shd w:val="clear" w:color="auto" w:fill="auto"/>
                  <w:vAlign w:val="center"/>
                  <w:hideMark/>
                </w:tcPr>
                <w:p w14:paraId="254F5462" w14:textId="77777777" w:rsidR="00A47F5B" w:rsidRPr="0051157C" w:rsidRDefault="00A47F5B" w:rsidP="00A47F5B">
                  <w:pPr>
                    <w:spacing w:after="0" w:line="240" w:lineRule="auto"/>
                    <w:rPr>
                      <w:rFonts w:ascii="Aptos" w:eastAsia="Times New Roman" w:hAnsi="Aptos" w:cstheme="majorHAnsi"/>
                    </w:rPr>
                  </w:pPr>
                  <w:r w:rsidRPr="0051157C">
                    <w:rPr>
                      <w:rFonts w:ascii="Aptos" w:eastAsia="Times New Roman" w:hAnsi="Aptos" w:cstheme="majorHAnsi"/>
                    </w:rPr>
                    <w:t>On the next Shs. 5,612,000</w:t>
                  </w:r>
                </w:p>
              </w:tc>
              <w:tc>
                <w:tcPr>
                  <w:tcW w:w="910" w:type="dxa"/>
                  <w:tcBorders>
                    <w:top w:val="nil"/>
                    <w:left w:val="nil"/>
                    <w:bottom w:val="single" w:sz="8" w:space="0" w:color="A7A7A7"/>
                    <w:right w:val="single" w:sz="8" w:space="0" w:color="A7A7A7"/>
                  </w:tcBorders>
                  <w:shd w:val="clear" w:color="auto" w:fill="auto"/>
                  <w:vAlign w:val="center"/>
                  <w:hideMark/>
                </w:tcPr>
                <w:p w14:paraId="6F64E92C" w14:textId="77777777" w:rsidR="00A47F5B" w:rsidRPr="0051157C" w:rsidRDefault="00A47F5B" w:rsidP="00A47F5B">
                  <w:pPr>
                    <w:spacing w:after="0" w:line="240" w:lineRule="auto"/>
                    <w:jc w:val="right"/>
                    <w:rPr>
                      <w:rFonts w:ascii="Aptos" w:eastAsia="Times New Roman" w:hAnsi="Aptos" w:cstheme="majorHAnsi"/>
                    </w:rPr>
                  </w:pPr>
                  <w:r w:rsidRPr="0051157C">
                    <w:rPr>
                      <w:rFonts w:ascii="Aptos" w:eastAsia="Times New Roman" w:hAnsi="Aptos" w:cstheme="majorHAnsi"/>
                    </w:rPr>
                    <w:t>30</w:t>
                  </w:r>
                </w:p>
              </w:tc>
              <w:tc>
                <w:tcPr>
                  <w:tcW w:w="1219" w:type="dxa"/>
                  <w:tcBorders>
                    <w:top w:val="nil"/>
                    <w:left w:val="nil"/>
                    <w:bottom w:val="single" w:sz="8" w:space="0" w:color="A7A7A7"/>
                    <w:right w:val="single" w:sz="8" w:space="0" w:color="A7A7A7"/>
                  </w:tcBorders>
                  <w:shd w:val="clear" w:color="auto" w:fill="auto"/>
                  <w:vAlign w:val="center"/>
                  <w:hideMark/>
                </w:tcPr>
                <w:p w14:paraId="0D523852" w14:textId="77777777" w:rsidR="00A47F5B" w:rsidRPr="0051157C" w:rsidRDefault="00A47F5B" w:rsidP="00A47F5B">
                  <w:pPr>
                    <w:spacing w:after="0" w:line="240" w:lineRule="auto"/>
                    <w:rPr>
                      <w:rFonts w:ascii="Aptos" w:eastAsia="Times New Roman" w:hAnsi="Aptos" w:cstheme="majorHAnsi"/>
                    </w:rPr>
                  </w:pPr>
                  <w:r w:rsidRPr="0051157C">
                    <w:rPr>
                      <w:rFonts w:ascii="Aptos" w:eastAsia="Times New Roman" w:hAnsi="Aptos" w:cstheme="majorHAnsi"/>
                    </w:rPr>
                    <w:t>On the next Shs. 167,667</w:t>
                  </w:r>
                </w:p>
              </w:tc>
              <w:tc>
                <w:tcPr>
                  <w:tcW w:w="1219" w:type="dxa"/>
                  <w:tcBorders>
                    <w:top w:val="nil"/>
                    <w:left w:val="nil"/>
                    <w:bottom w:val="single" w:sz="8" w:space="0" w:color="A7A7A7"/>
                    <w:right w:val="single" w:sz="8" w:space="0" w:color="A7A7A7"/>
                  </w:tcBorders>
                  <w:shd w:val="clear" w:color="auto" w:fill="auto"/>
                  <w:vAlign w:val="center"/>
                  <w:hideMark/>
                </w:tcPr>
                <w:p w14:paraId="264754AB" w14:textId="77777777" w:rsidR="00A47F5B" w:rsidRPr="0051157C" w:rsidRDefault="00A47F5B" w:rsidP="00A47F5B">
                  <w:pPr>
                    <w:spacing w:after="0" w:line="240" w:lineRule="auto"/>
                    <w:rPr>
                      <w:rFonts w:ascii="Aptos" w:eastAsia="Times New Roman" w:hAnsi="Aptos" w:cstheme="majorHAnsi"/>
                    </w:rPr>
                  </w:pPr>
                  <w:r w:rsidRPr="0051157C">
                    <w:rPr>
                      <w:rFonts w:ascii="Aptos" w:eastAsia="Times New Roman" w:hAnsi="Aptos" w:cstheme="majorHAnsi"/>
                    </w:rPr>
                    <w:t>On the next Shs. 5,612,000</w:t>
                  </w:r>
                </w:p>
              </w:tc>
              <w:tc>
                <w:tcPr>
                  <w:tcW w:w="910" w:type="dxa"/>
                  <w:tcBorders>
                    <w:top w:val="nil"/>
                    <w:left w:val="nil"/>
                    <w:bottom w:val="single" w:sz="8" w:space="0" w:color="A7A7A7"/>
                    <w:right w:val="single" w:sz="8" w:space="0" w:color="A7A7A7"/>
                  </w:tcBorders>
                  <w:shd w:val="clear" w:color="auto" w:fill="auto"/>
                  <w:vAlign w:val="center"/>
                  <w:hideMark/>
                </w:tcPr>
                <w:p w14:paraId="1987E46A" w14:textId="77777777" w:rsidR="00A47F5B" w:rsidRPr="0051157C" w:rsidRDefault="00A47F5B" w:rsidP="00A47F5B">
                  <w:pPr>
                    <w:spacing w:after="0" w:line="240" w:lineRule="auto"/>
                    <w:jc w:val="right"/>
                    <w:rPr>
                      <w:rFonts w:ascii="Aptos" w:eastAsia="Times New Roman" w:hAnsi="Aptos" w:cstheme="majorHAnsi"/>
                    </w:rPr>
                  </w:pPr>
                  <w:r w:rsidRPr="0051157C">
                    <w:rPr>
                      <w:rFonts w:ascii="Aptos" w:eastAsia="Times New Roman" w:hAnsi="Aptos" w:cstheme="majorHAnsi"/>
                    </w:rPr>
                    <w:t>25</w:t>
                  </w:r>
                </w:p>
              </w:tc>
            </w:tr>
            <w:tr w:rsidR="00A47F5B" w:rsidRPr="0051157C" w14:paraId="5BA10A14" w14:textId="77777777" w:rsidTr="00F12C92">
              <w:trPr>
                <w:trHeight w:val="1050"/>
              </w:trPr>
              <w:tc>
                <w:tcPr>
                  <w:tcW w:w="1219" w:type="dxa"/>
                  <w:tcBorders>
                    <w:top w:val="nil"/>
                    <w:left w:val="single" w:sz="8" w:space="0" w:color="A7A7A7"/>
                    <w:bottom w:val="single" w:sz="8" w:space="0" w:color="A7A7A7"/>
                    <w:right w:val="single" w:sz="8" w:space="0" w:color="A7A7A7"/>
                  </w:tcBorders>
                  <w:shd w:val="clear" w:color="auto" w:fill="auto"/>
                  <w:vAlign w:val="center"/>
                  <w:hideMark/>
                </w:tcPr>
                <w:p w14:paraId="2CD8844F" w14:textId="77777777" w:rsidR="00A47F5B" w:rsidRPr="0051157C" w:rsidRDefault="00A47F5B" w:rsidP="00A47F5B">
                  <w:pPr>
                    <w:spacing w:after="0" w:line="240" w:lineRule="auto"/>
                    <w:rPr>
                      <w:rFonts w:ascii="Aptos" w:eastAsia="Times New Roman" w:hAnsi="Aptos" w:cstheme="majorHAnsi"/>
                    </w:rPr>
                  </w:pPr>
                  <w:r w:rsidRPr="0051157C">
                    <w:rPr>
                      <w:rFonts w:ascii="Aptos" w:eastAsia="Times New Roman" w:hAnsi="Aptos" w:cstheme="majorHAnsi"/>
                    </w:rPr>
                    <w:t>On the next Shs.300,000</w:t>
                  </w:r>
                </w:p>
              </w:tc>
              <w:tc>
                <w:tcPr>
                  <w:tcW w:w="1219" w:type="dxa"/>
                  <w:tcBorders>
                    <w:top w:val="nil"/>
                    <w:left w:val="nil"/>
                    <w:bottom w:val="single" w:sz="8" w:space="0" w:color="A7A7A7"/>
                    <w:right w:val="single" w:sz="8" w:space="0" w:color="A7A7A7"/>
                  </w:tcBorders>
                  <w:shd w:val="clear" w:color="auto" w:fill="auto"/>
                  <w:vAlign w:val="center"/>
                  <w:hideMark/>
                </w:tcPr>
                <w:p w14:paraId="09588C44" w14:textId="77777777" w:rsidR="00A47F5B" w:rsidRPr="0051157C" w:rsidRDefault="00A47F5B" w:rsidP="00A47F5B">
                  <w:pPr>
                    <w:spacing w:after="0" w:line="240" w:lineRule="auto"/>
                    <w:rPr>
                      <w:rFonts w:ascii="Aptos" w:eastAsia="Times New Roman" w:hAnsi="Aptos" w:cstheme="majorHAnsi"/>
                    </w:rPr>
                  </w:pPr>
                  <w:r w:rsidRPr="0051157C">
                    <w:rPr>
                      <w:rFonts w:ascii="Aptos" w:eastAsia="Times New Roman" w:hAnsi="Aptos" w:cstheme="majorHAnsi"/>
                    </w:rPr>
                    <w:t>On the next Shs. 3,600,00</w:t>
                  </w:r>
                </w:p>
              </w:tc>
              <w:tc>
                <w:tcPr>
                  <w:tcW w:w="910" w:type="dxa"/>
                  <w:tcBorders>
                    <w:top w:val="nil"/>
                    <w:left w:val="nil"/>
                    <w:bottom w:val="single" w:sz="8" w:space="0" w:color="A7A7A7"/>
                    <w:right w:val="single" w:sz="8" w:space="0" w:color="A7A7A7"/>
                  </w:tcBorders>
                  <w:shd w:val="clear" w:color="auto" w:fill="auto"/>
                  <w:vAlign w:val="center"/>
                  <w:hideMark/>
                </w:tcPr>
                <w:p w14:paraId="2509BDB5" w14:textId="77777777" w:rsidR="00A47F5B" w:rsidRPr="0051157C" w:rsidRDefault="00A47F5B" w:rsidP="00A47F5B">
                  <w:pPr>
                    <w:spacing w:after="0" w:line="240" w:lineRule="auto"/>
                    <w:jc w:val="right"/>
                    <w:rPr>
                      <w:rFonts w:ascii="Aptos" w:eastAsia="Times New Roman" w:hAnsi="Aptos" w:cstheme="majorHAnsi"/>
                    </w:rPr>
                  </w:pPr>
                  <w:r w:rsidRPr="0051157C">
                    <w:rPr>
                      <w:rFonts w:ascii="Aptos" w:eastAsia="Times New Roman" w:hAnsi="Aptos" w:cstheme="majorHAnsi"/>
                    </w:rPr>
                    <w:t>32.5</w:t>
                  </w:r>
                </w:p>
              </w:tc>
              <w:tc>
                <w:tcPr>
                  <w:tcW w:w="1219" w:type="dxa"/>
                  <w:tcBorders>
                    <w:top w:val="nil"/>
                    <w:left w:val="nil"/>
                    <w:bottom w:val="single" w:sz="8" w:space="0" w:color="A7A7A7"/>
                    <w:right w:val="single" w:sz="8" w:space="0" w:color="A7A7A7"/>
                  </w:tcBorders>
                  <w:shd w:val="clear" w:color="auto" w:fill="auto"/>
                  <w:vAlign w:val="center"/>
                  <w:hideMark/>
                </w:tcPr>
                <w:p w14:paraId="01BF9AA8" w14:textId="77777777" w:rsidR="00A47F5B" w:rsidRPr="0051157C" w:rsidRDefault="00A47F5B" w:rsidP="00A47F5B">
                  <w:pPr>
                    <w:spacing w:after="0" w:line="240" w:lineRule="auto"/>
                    <w:rPr>
                      <w:rFonts w:ascii="Aptos" w:eastAsia="Times New Roman" w:hAnsi="Aptos" w:cstheme="majorHAnsi"/>
                    </w:rPr>
                  </w:pPr>
                  <w:r w:rsidRPr="0051157C">
                    <w:rPr>
                      <w:rFonts w:ascii="Aptos" w:eastAsia="Times New Roman" w:hAnsi="Aptos" w:cstheme="majorHAnsi"/>
                    </w:rPr>
                    <w:t>On the next Shs.300,000</w:t>
                  </w:r>
                </w:p>
              </w:tc>
              <w:tc>
                <w:tcPr>
                  <w:tcW w:w="1219" w:type="dxa"/>
                  <w:tcBorders>
                    <w:top w:val="nil"/>
                    <w:left w:val="nil"/>
                    <w:bottom w:val="single" w:sz="8" w:space="0" w:color="A7A7A7"/>
                    <w:right w:val="single" w:sz="8" w:space="0" w:color="A7A7A7"/>
                  </w:tcBorders>
                  <w:shd w:val="clear" w:color="auto" w:fill="auto"/>
                  <w:vAlign w:val="center"/>
                  <w:hideMark/>
                </w:tcPr>
                <w:p w14:paraId="2E9CC09A" w14:textId="77777777" w:rsidR="00A47F5B" w:rsidRPr="0051157C" w:rsidRDefault="00A47F5B" w:rsidP="00A47F5B">
                  <w:pPr>
                    <w:spacing w:after="0" w:line="240" w:lineRule="auto"/>
                    <w:rPr>
                      <w:rFonts w:ascii="Aptos" w:eastAsia="Times New Roman" w:hAnsi="Aptos" w:cstheme="majorHAnsi"/>
                    </w:rPr>
                  </w:pPr>
                  <w:r w:rsidRPr="0051157C">
                    <w:rPr>
                      <w:rFonts w:ascii="Aptos" w:eastAsia="Times New Roman" w:hAnsi="Aptos" w:cstheme="majorHAnsi"/>
                    </w:rPr>
                    <w:t>On the next Shs. 3,600,00</w:t>
                  </w:r>
                </w:p>
              </w:tc>
              <w:tc>
                <w:tcPr>
                  <w:tcW w:w="910" w:type="dxa"/>
                  <w:tcBorders>
                    <w:top w:val="nil"/>
                    <w:left w:val="nil"/>
                    <w:bottom w:val="single" w:sz="8" w:space="0" w:color="A7A7A7"/>
                    <w:right w:val="single" w:sz="8" w:space="0" w:color="A7A7A7"/>
                  </w:tcBorders>
                  <w:shd w:val="clear" w:color="auto" w:fill="auto"/>
                  <w:vAlign w:val="center"/>
                  <w:hideMark/>
                </w:tcPr>
                <w:p w14:paraId="4E9595CF" w14:textId="77777777" w:rsidR="00A47F5B" w:rsidRPr="0051157C" w:rsidRDefault="00A47F5B" w:rsidP="00A47F5B">
                  <w:pPr>
                    <w:spacing w:after="0" w:line="240" w:lineRule="auto"/>
                    <w:jc w:val="right"/>
                    <w:rPr>
                      <w:rFonts w:ascii="Aptos" w:eastAsia="Times New Roman" w:hAnsi="Aptos" w:cstheme="majorHAnsi"/>
                    </w:rPr>
                  </w:pPr>
                  <w:r w:rsidRPr="0051157C">
                    <w:rPr>
                      <w:rFonts w:ascii="Aptos" w:eastAsia="Times New Roman" w:hAnsi="Aptos" w:cstheme="majorHAnsi"/>
                    </w:rPr>
                    <w:t>27.5</w:t>
                  </w:r>
                </w:p>
              </w:tc>
            </w:tr>
            <w:tr w:rsidR="00A47F5B" w:rsidRPr="0051157C" w14:paraId="765CC7EB" w14:textId="77777777" w:rsidTr="00F12C92">
              <w:trPr>
                <w:trHeight w:val="1310"/>
              </w:trPr>
              <w:tc>
                <w:tcPr>
                  <w:tcW w:w="1219" w:type="dxa"/>
                  <w:tcBorders>
                    <w:top w:val="nil"/>
                    <w:left w:val="single" w:sz="8" w:space="0" w:color="A7A7A7"/>
                    <w:bottom w:val="single" w:sz="8" w:space="0" w:color="A7A7A7"/>
                    <w:right w:val="single" w:sz="8" w:space="0" w:color="A7A7A7"/>
                  </w:tcBorders>
                  <w:shd w:val="clear" w:color="auto" w:fill="auto"/>
                  <w:vAlign w:val="center"/>
                  <w:hideMark/>
                </w:tcPr>
                <w:p w14:paraId="4C0C7FF9" w14:textId="77777777" w:rsidR="00A47F5B" w:rsidRPr="0051157C" w:rsidRDefault="00A47F5B" w:rsidP="00A47F5B">
                  <w:pPr>
                    <w:spacing w:after="0" w:line="240" w:lineRule="auto"/>
                    <w:rPr>
                      <w:rFonts w:ascii="Aptos" w:eastAsia="Times New Roman" w:hAnsi="Aptos" w:cstheme="majorHAnsi"/>
                    </w:rPr>
                  </w:pPr>
                  <w:r w:rsidRPr="0051157C">
                    <w:rPr>
                      <w:rFonts w:ascii="Aptos" w:eastAsia="Times New Roman" w:hAnsi="Aptos" w:cstheme="majorHAnsi"/>
                    </w:rPr>
                    <w:t>On all income above Shs. 800,0000</w:t>
                  </w:r>
                </w:p>
              </w:tc>
              <w:tc>
                <w:tcPr>
                  <w:tcW w:w="1219" w:type="dxa"/>
                  <w:tcBorders>
                    <w:top w:val="nil"/>
                    <w:left w:val="nil"/>
                    <w:bottom w:val="single" w:sz="8" w:space="0" w:color="A7A7A7"/>
                    <w:right w:val="single" w:sz="8" w:space="0" w:color="A7A7A7"/>
                  </w:tcBorders>
                  <w:shd w:val="clear" w:color="auto" w:fill="auto"/>
                  <w:vAlign w:val="center"/>
                  <w:hideMark/>
                </w:tcPr>
                <w:p w14:paraId="16966414" w14:textId="77777777" w:rsidR="00A47F5B" w:rsidRPr="0051157C" w:rsidRDefault="00A47F5B" w:rsidP="00A47F5B">
                  <w:pPr>
                    <w:spacing w:after="0" w:line="240" w:lineRule="auto"/>
                    <w:rPr>
                      <w:rFonts w:ascii="Aptos" w:eastAsia="Times New Roman" w:hAnsi="Aptos" w:cstheme="majorHAnsi"/>
                    </w:rPr>
                  </w:pPr>
                  <w:r w:rsidRPr="0051157C">
                    <w:rPr>
                      <w:rFonts w:ascii="Aptos" w:eastAsia="Times New Roman" w:hAnsi="Aptos" w:cstheme="majorHAnsi"/>
                    </w:rPr>
                    <w:t>On all income above Shs. 9,600,000</w:t>
                  </w:r>
                </w:p>
              </w:tc>
              <w:tc>
                <w:tcPr>
                  <w:tcW w:w="910" w:type="dxa"/>
                  <w:tcBorders>
                    <w:top w:val="nil"/>
                    <w:left w:val="nil"/>
                    <w:bottom w:val="single" w:sz="8" w:space="0" w:color="A7A7A7"/>
                    <w:right w:val="single" w:sz="8" w:space="0" w:color="A7A7A7"/>
                  </w:tcBorders>
                  <w:shd w:val="clear" w:color="auto" w:fill="auto"/>
                  <w:vAlign w:val="center"/>
                  <w:hideMark/>
                </w:tcPr>
                <w:p w14:paraId="228A06F8" w14:textId="77777777" w:rsidR="00A47F5B" w:rsidRPr="0051157C" w:rsidRDefault="00A47F5B" w:rsidP="00A47F5B">
                  <w:pPr>
                    <w:spacing w:after="0" w:line="240" w:lineRule="auto"/>
                    <w:jc w:val="right"/>
                    <w:rPr>
                      <w:rFonts w:ascii="Aptos" w:eastAsia="Times New Roman" w:hAnsi="Aptos" w:cstheme="majorHAnsi"/>
                    </w:rPr>
                  </w:pPr>
                  <w:r w:rsidRPr="0051157C">
                    <w:rPr>
                      <w:rFonts w:ascii="Aptos" w:eastAsia="Times New Roman" w:hAnsi="Aptos" w:cstheme="majorHAnsi"/>
                    </w:rPr>
                    <w:t>35</w:t>
                  </w:r>
                </w:p>
              </w:tc>
              <w:tc>
                <w:tcPr>
                  <w:tcW w:w="1219" w:type="dxa"/>
                  <w:tcBorders>
                    <w:top w:val="nil"/>
                    <w:left w:val="nil"/>
                    <w:bottom w:val="single" w:sz="8" w:space="0" w:color="A7A7A7"/>
                    <w:right w:val="single" w:sz="8" w:space="0" w:color="A7A7A7"/>
                  </w:tcBorders>
                  <w:shd w:val="clear" w:color="auto" w:fill="auto"/>
                  <w:vAlign w:val="center"/>
                  <w:hideMark/>
                </w:tcPr>
                <w:p w14:paraId="243A184F" w14:textId="77777777" w:rsidR="00A47F5B" w:rsidRPr="0051157C" w:rsidRDefault="00A47F5B" w:rsidP="00A47F5B">
                  <w:pPr>
                    <w:spacing w:after="0" w:line="240" w:lineRule="auto"/>
                    <w:rPr>
                      <w:rFonts w:ascii="Aptos" w:eastAsia="Times New Roman" w:hAnsi="Aptos" w:cstheme="majorHAnsi"/>
                    </w:rPr>
                  </w:pPr>
                  <w:r w:rsidRPr="0051157C">
                    <w:rPr>
                      <w:rFonts w:ascii="Aptos" w:eastAsia="Times New Roman" w:hAnsi="Aptos" w:cstheme="majorHAnsi"/>
                    </w:rPr>
                    <w:t>On all income above Shs. 500,0000</w:t>
                  </w:r>
                </w:p>
              </w:tc>
              <w:tc>
                <w:tcPr>
                  <w:tcW w:w="1219" w:type="dxa"/>
                  <w:tcBorders>
                    <w:top w:val="nil"/>
                    <w:left w:val="nil"/>
                    <w:bottom w:val="single" w:sz="8" w:space="0" w:color="A7A7A7"/>
                    <w:right w:val="single" w:sz="8" w:space="0" w:color="A7A7A7"/>
                  </w:tcBorders>
                  <w:shd w:val="clear" w:color="auto" w:fill="auto"/>
                  <w:vAlign w:val="center"/>
                  <w:hideMark/>
                </w:tcPr>
                <w:p w14:paraId="63C35BB9" w14:textId="77777777" w:rsidR="00A47F5B" w:rsidRPr="0051157C" w:rsidRDefault="00A47F5B" w:rsidP="00A47F5B">
                  <w:pPr>
                    <w:spacing w:after="0" w:line="240" w:lineRule="auto"/>
                    <w:rPr>
                      <w:rFonts w:ascii="Aptos" w:eastAsia="Times New Roman" w:hAnsi="Aptos" w:cstheme="majorHAnsi"/>
                    </w:rPr>
                  </w:pPr>
                  <w:r w:rsidRPr="0051157C">
                    <w:rPr>
                      <w:rFonts w:ascii="Aptos" w:eastAsia="Times New Roman" w:hAnsi="Aptos" w:cstheme="majorHAnsi"/>
                    </w:rPr>
                    <w:t>On all income above Shs. 9,600,000</w:t>
                  </w:r>
                </w:p>
              </w:tc>
              <w:tc>
                <w:tcPr>
                  <w:tcW w:w="910" w:type="dxa"/>
                  <w:tcBorders>
                    <w:top w:val="nil"/>
                    <w:left w:val="nil"/>
                    <w:bottom w:val="single" w:sz="8" w:space="0" w:color="A7A7A7"/>
                    <w:right w:val="single" w:sz="8" w:space="0" w:color="A7A7A7"/>
                  </w:tcBorders>
                  <w:shd w:val="clear" w:color="auto" w:fill="auto"/>
                  <w:vAlign w:val="center"/>
                  <w:hideMark/>
                </w:tcPr>
                <w:p w14:paraId="58A2BDEB" w14:textId="77777777" w:rsidR="00A47F5B" w:rsidRPr="0051157C" w:rsidRDefault="00A47F5B" w:rsidP="00A47F5B">
                  <w:pPr>
                    <w:spacing w:after="0" w:line="240" w:lineRule="auto"/>
                    <w:jc w:val="right"/>
                    <w:rPr>
                      <w:rFonts w:ascii="Aptos" w:eastAsia="Times New Roman" w:hAnsi="Aptos" w:cstheme="majorHAnsi"/>
                    </w:rPr>
                  </w:pPr>
                  <w:r w:rsidRPr="0051157C">
                    <w:rPr>
                      <w:rFonts w:ascii="Aptos" w:eastAsia="Times New Roman" w:hAnsi="Aptos" w:cstheme="majorHAnsi"/>
                    </w:rPr>
                    <w:t>30</w:t>
                  </w:r>
                </w:p>
              </w:tc>
            </w:tr>
            <w:tr w:rsidR="00A47F5B" w:rsidRPr="0051157C" w14:paraId="4CE3678F" w14:textId="77777777" w:rsidTr="00F12C92">
              <w:trPr>
                <w:trHeight w:val="530"/>
              </w:trPr>
              <w:tc>
                <w:tcPr>
                  <w:tcW w:w="1219" w:type="dxa"/>
                  <w:tcBorders>
                    <w:top w:val="nil"/>
                    <w:left w:val="single" w:sz="8" w:space="0" w:color="A7A7A7"/>
                    <w:bottom w:val="single" w:sz="8" w:space="0" w:color="A7A7A7"/>
                    <w:right w:val="single" w:sz="8" w:space="0" w:color="A7A7A7"/>
                  </w:tcBorders>
                  <w:shd w:val="clear" w:color="auto" w:fill="auto"/>
                  <w:vAlign w:val="center"/>
                  <w:hideMark/>
                </w:tcPr>
                <w:p w14:paraId="606E839F" w14:textId="77777777" w:rsidR="00A47F5B" w:rsidRPr="0051157C" w:rsidRDefault="00A47F5B" w:rsidP="00A47F5B">
                  <w:pPr>
                    <w:spacing w:after="0" w:line="240" w:lineRule="auto"/>
                    <w:rPr>
                      <w:rFonts w:ascii="Aptos" w:eastAsia="Times New Roman" w:hAnsi="Aptos" w:cstheme="majorHAnsi"/>
                    </w:rPr>
                  </w:pPr>
                  <w:r w:rsidRPr="0051157C">
                    <w:rPr>
                      <w:rFonts w:ascii="Aptos" w:eastAsia="Times New Roman" w:hAnsi="Aptos" w:cstheme="majorHAnsi"/>
                    </w:rPr>
                    <w:t>Personal Tax Relief</w:t>
                  </w:r>
                </w:p>
              </w:tc>
              <w:tc>
                <w:tcPr>
                  <w:tcW w:w="1219" w:type="dxa"/>
                  <w:tcBorders>
                    <w:top w:val="nil"/>
                    <w:left w:val="nil"/>
                    <w:bottom w:val="single" w:sz="8" w:space="0" w:color="A7A7A7"/>
                    <w:right w:val="single" w:sz="8" w:space="0" w:color="A7A7A7"/>
                  </w:tcBorders>
                  <w:shd w:val="clear" w:color="auto" w:fill="auto"/>
                  <w:vAlign w:val="center"/>
                  <w:hideMark/>
                </w:tcPr>
                <w:p w14:paraId="0ABC5158" w14:textId="77777777" w:rsidR="00A47F5B" w:rsidRPr="0051157C" w:rsidRDefault="00A47F5B" w:rsidP="00A47F5B">
                  <w:pPr>
                    <w:spacing w:after="0" w:line="240" w:lineRule="auto"/>
                    <w:rPr>
                      <w:rFonts w:ascii="Aptos" w:eastAsia="Times New Roman" w:hAnsi="Aptos" w:cstheme="majorHAnsi"/>
                    </w:rPr>
                  </w:pPr>
                  <w:r w:rsidRPr="0051157C">
                    <w:rPr>
                      <w:rFonts w:ascii="Aptos" w:eastAsia="Times New Roman" w:hAnsi="Aptos" w:cstheme="majorHAnsi"/>
                    </w:rPr>
                    <w:t> </w:t>
                  </w:r>
                </w:p>
              </w:tc>
              <w:tc>
                <w:tcPr>
                  <w:tcW w:w="910" w:type="dxa"/>
                  <w:tcBorders>
                    <w:top w:val="nil"/>
                    <w:left w:val="nil"/>
                    <w:bottom w:val="single" w:sz="8" w:space="0" w:color="A7A7A7"/>
                    <w:right w:val="single" w:sz="8" w:space="0" w:color="A7A7A7"/>
                  </w:tcBorders>
                  <w:shd w:val="clear" w:color="auto" w:fill="auto"/>
                  <w:vAlign w:val="center"/>
                  <w:hideMark/>
                </w:tcPr>
                <w:p w14:paraId="758943A1" w14:textId="77777777" w:rsidR="00A47F5B" w:rsidRPr="0051157C" w:rsidRDefault="00A47F5B" w:rsidP="00A47F5B">
                  <w:pPr>
                    <w:spacing w:after="0" w:line="240" w:lineRule="auto"/>
                    <w:rPr>
                      <w:rFonts w:ascii="Aptos" w:eastAsia="Times New Roman" w:hAnsi="Aptos" w:cstheme="majorHAnsi"/>
                    </w:rPr>
                  </w:pPr>
                  <w:r w:rsidRPr="0051157C">
                    <w:rPr>
                      <w:rFonts w:ascii="Aptos" w:eastAsia="Times New Roman" w:hAnsi="Aptos" w:cstheme="majorHAnsi"/>
                    </w:rPr>
                    <w:t> </w:t>
                  </w:r>
                </w:p>
              </w:tc>
              <w:tc>
                <w:tcPr>
                  <w:tcW w:w="1219" w:type="dxa"/>
                  <w:tcBorders>
                    <w:top w:val="nil"/>
                    <w:left w:val="nil"/>
                    <w:bottom w:val="single" w:sz="8" w:space="0" w:color="A7A7A7"/>
                    <w:right w:val="single" w:sz="8" w:space="0" w:color="A7A7A7"/>
                  </w:tcBorders>
                  <w:shd w:val="clear" w:color="auto" w:fill="auto"/>
                  <w:vAlign w:val="center"/>
                  <w:hideMark/>
                </w:tcPr>
                <w:p w14:paraId="2DF46D34" w14:textId="77777777" w:rsidR="00A47F5B" w:rsidRPr="0051157C" w:rsidRDefault="00A47F5B" w:rsidP="00A47F5B">
                  <w:pPr>
                    <w:spacing w:after="0" w:line="240" w:lineRule="auto"/>
                    <w:rPr>
                      <w:rFonts w:ascii="Aptos" w:eastAsia="Times New Roman" w:hAnsi="Aptos" w:cstheme="majorHAnsi"/>
                    </w:rPr>
                  </w:pPr>
                  <w:r w:rsidRPr="0051157C">
                    <w:rPr>
                      <w:rFonts w:ascii="Aptos" w:eastAsia="Times New Roman" w:hAnsi="Aptos" w:cstheme="majorHAnsi"/>
                    </w:rPr>
                    <w:t>Personal Tax Relief</w:t>
                  </w:r>
                </w:p>
              </w:tc>
              <w:tc>
                <w:tcPr>
                  <w:tcW w:w="1219" w:type="dxa"/>
                  <w:tcBorders>
                    <w:top w:val="nil"/>
                    <w:left w:val="nil"/>
                    <w:bottom w:val="single" w:sz="8" w:space="0" w:color="A7A7A7"/>
                    <w:right w:val="single" w:sz="8" w:space="0" w:color="A7A7A7"/>
                  </w:tcBorders>
                  <w:shd w:val="clear" w:color="auto" w:fill="auto"/>
                  <w:vAlign w:val="center"/>
                  <w:hideMark/>
                </w:tcPr>
                <w:p w14:paraId="150E2528" w14:textId="77777777" w:rsidR="00A47F5B" w:rsidRPr="0051157C" w:rsidRDefault="00A47F5B" w:rsidP="00A47F5B">
                  <w:pPr>
                    <w:spacing w:after="0" w:line="240" w:lineRule="auto"/>
                    <w:rPr>
                      <w:rFonts w:ascii="Aptos" w:eastAsia="Times New Roman" w:hAnsi="Aptos" w:cstheme="majorHAnsi"/>
                    </w:rPr>
                  </w:pPr>
                  <w:r w:rsidRPr="0051157C">
                    <w:rPr>
                      <w:rFonts w:ascii="Aptos" w:eastAsia="Times New Roman" w:hAnsi="Aptos" w:cstheme="majorHAnsi"/>
                    </w:rPr>
                    <w:t> </w:t>
                  </w:r>
                </w:p>
              </w:tc>
              <w:tc>
                <w:tcPr>
                  <w:tcW w:w="910" w:type="dxa"/>
                  <w:tcBorders>
                    <w:top w:val="nil"/>
                    <w:left w:val="nil"/>
                    <w:bottom w:val="single" w:sz="8" w:space="0" w:color="A7A7A7"/>
                    <w:right w:val="single" w:sz="8" w:space="0" w:color="A7A7A7"/>
                  </w:tcBorders>
                  <w:shd w:val="clear" w:color="auto" w:fill="auto"/>
                  <w:vAlign w:val="center"/>
                  <w:hideMark/>
                </w:tcPr>
                <w:p w14:paraId="5AB42B06" w14:textId="77777777" w:rsidR="00A47F5B" w:rsidRPr="0051157C" w:rsidRDefault="00A47F5B" w:rsidP="00A47F5B">
                  <w:pPr>
                    <w:spacing w:after="0" w:line="240" w:lineRule="auto"/>
                    <w:rPr>
                      <w:rFonts w:ascii="Aptos" w:eastAsia="Times New Roman" w:hAnsi="Aptos" w:cstheme="majorHAnsi"/>
                    </w:rPr>
                  </w:pPr>
                  <w:r w:rsidRPr="0051157C">
                    <w:rPr>
                      <w:rFonts w:ascii="Aptos" w:eastAsia="Times New Roman" w:hAnsi="Aptos" w:cstheme="majorHAnsi"/>
                    </w:rPr>
                    <w:t> </w:t>
                  </w:r>
                </w:p>
              </w:tc>
            </w:tr>
            <w:tr w:rsidR="00A47F5B" w:rsidRPr="0051157C" w14:paraId="7DAAEEF0" w14:textId="77777777" w:rsidTr="00F12C92">
              <w:trPr>
                <w:trHeight w:val="270"/>
              </w:trPr>
              <w:tc>
                <w:tcPr>
                  <w:tcW w:w="1219" w:type="dxa"/>
                  <w:tcBorders>
                    <w:top w:val="nil"/>
                    <w:left w:val="single" w:sz="8" w:space="0" w:color="A7A7A7"/>
                    <w:bottom w:val="single" w:sz="8" w:space="0" w:color="A7A7A7"/>
                    <w:right w:val="single" w:sz="8" w:space="0" w:color="A7A7A7"/>
                  </w:tcBorders>
                  <w:shd w:val="clear" w:color="auto" w:fill="auto"/>
                  <w:vAlign w:val="center"/>
                  <w:hideMark/>
                </w:tcPr>
                <w:p w14:paraId="4B08C5BF" w14:textId="77777777" w:rsidR="00A47F5B" w:rsidRPr="0051157C" w:rsidRDefault="00A47F5B" w:rsidP="00A47F5B">
                  <w:pPr>
                    <w:spacing w:after="0" w:line="240" w:lineRule="auto"/>
                    <w:jc w:val="right"/>
                    <w:rPr>
                      <w:rFonts w:ascii="Aptos" w:eastAsia="Times New Roman" w:hAnsi="Aptos" w:cstheme="majorHAnsi"/>
                    </w:rPr>
                  </w:pPr>
                  <w:r w:rsidRPr="0051157C">
                    <w:rPr>
                      <w:rFonts w:ascii="Aptos" w:eastAsia="Times New Roman" w:hAnsi="Aptos" w:cstheme="majorHAnsi"/>
                    </w:rPr>
                    <w:t>2 400</w:t>
                  </w:r>
                </w:p>
              </w:tc>
              <w:tc>
                <w:tcPr>
                  <w:tcW w:w="1219" w:type="dxa"/>
                  <w:tcBorders>
                    <w:top w:val="nil"/>
                    <w:left w:val="nil"/>
                    <w:bottom w:val="single" w:sz="8" w:space="0" w:color="A7A7A7"/>
                    <w:right w:val="single" w:sz="8" w:space="0" w:color="A7A7A7"/>
                  </w:tcBorders>
                  <w:shd w:val="clear" w:color="auto" w:fill="auto"/>
                  <w:vAlign w:val="center"/>
                  <w:hideMark/>
                </w:tcPr>
                <w:p w14:paraId="2A970056" w14:textId="77777777" w:rsidR="00A47F5B" w:rsidRPr="0051157C" w:rsidRDefault="00A47F5B" w:rsidP="00A47F5B">
                  <w:pPr>
                    <w:spacing w:after="0" w:line="240" w:lineRule="auto"/>
                    <w:jc w:val="right"/>
                    <w:rPr>
                      <w:rFonts w:ascii="Aptos" w:eastAsia="Times New Roman" w:hAnsi="Aptos" w:cstheme="majorHAnsi"/>
                    </w:rPr>
                  </w:pPr>
                  <w:r w:rsidRPr="0051157C">
                    <w:rPr>
                      <w:rFonts w:ascii="Aptos" w:eastAsia="Times New Roman" w:hAnsi="Aptos" w:cstheme="majorHAnsi"/>
                    </w:rPr>
                    <w:t>28 800</w:t>
                  </w:r>
                </w:p>
              </w:tc>
              <w:tc>
                <w:tcPr>
                  <w:tcW w:w="910" w:type="dxa"/>
                  <w:tcBorders>
                    <w:top w:val="nil"/>
                    <w:left w:val="nil"/>
                    <w:bottom w:val="single" w:sz="8" w:space="0" w:color="A7A7A7"/>
                    <w:right w:val="single" w:sz="8" w:space="0" w:color="A7A7A7"/>
                  </w:tcBorders>
                  <w:shd w:val="clear" w:color="auto" w:fill="auto"/>
                  <w:vAlign w:val="center"/>
                  <w:hideMark/>
                </w:tcPr>
                <w:p w14:paraId="7DF4B5CF" w14:textId="77777777" w:rsidR="00A47F5B" w:rsidRPr="0051157C" w:rsidRDefault="00A47F5B" w:rsidP="00A47F5B">
                  <w:pPr>
                    <w:spacing w:after="0" w:line="240" w:lineRule="auto"/>
                    <w:rPr>
                      <w:rFonts w:ascii="Aptos" w:eastAsia="Times New Roman" w:hAnsi="Aptos" w:cstheme="majorHAnsi"/>
                    </w:rPr>
                  </w:pPr>
                  <w:r w:rsidRPr="0051157C">
                    <w:rPr>
                      <w:rFonts w:ascii="Aptos" w:eastAsia="Times New Roman" w:hAnsi="Aptos" w:cstheme="majorHAnsi"/>
                    </w:rPr>
                    <w:t> </w:t>
                  </w:r>
                </w:p>
              </w:tc>
              <w:tc>
                <w:tcPr>
                  <w:tcW w:w="1219" w:type="dxa"/>
                  <w:tcBorders>
                    <w:top w:val="nil"/>
                    <w:left w:val="nil"/>
                    <w:bottom w:val="single" w:sz="8" w:space="0" w:color="A7A7A7"/>
                    <w:right w:val="single" w:sz="8" w:space="0" w:color="A7A7A7"/>
                  </w:tcBorders>
                  <w:shd w:val="clear" w:color="auto" w:fill="auto"/>
                  <w:vAlign w:val="center"/>
                  <w:hideMark/>
                </w:tcPr>
                <w:p w14:paraId="2FEFCCD9" w14:textId="77777777" w:rsidR="00A47F5B" w:rsidRPr="0051157C" w:rsidRDefault="00A47F5B" w:rsidP="00A47F5B">
                  <w:pPr>
                    <w:spacing w:after="0" w:line="240" w:lineRule="auto"/>
                    <w:jc w:val="right"/>
                    <w:rPr>
                      <w:rFonts w:ascii="Aptos" w:eastAsia="Times New Roman" w:hAnsi="Aptos" w:cstheme="majorHAnsi"/>
                    </w:rPr>
                  </w:pPr>
                  <w:r w:rsidRPr="0051157C">
                    <w:rPr>
                      <w:rFonts w:ascii="Aptos" w:eastAsia="Times New Roman" w:hAnsi="Aptos" w:cstheme="majorHAnsi"/>
                    </w:rPr>
                    <w:t>2 400</w:t>
                  </w:r>
                </w:p>
              </w:tc>
              <w:tc>
                <w:tcPr>
                  <w:tcW w:w="1219" w:type="dxa"/>
                  <w:tcBorders>
                    <w:top w:val="nil"/>
                    <w:left w:val="nil"/>
                    <w:bottom w:val="single" w:sz="8" w:space="0" w:color="A7A7A7"/>
                    <w:right w:val="single" w:sz="8" w:space="0" w:color="A7A7A7"/>
                  </w:tcBorders>
                  <w:shd w:val="clear" w:color="auto" w:fill="auto"/>
                  <w:vAlign w:val="center"/>
                  <w:hideMark/>
                </w:tcPr>
                <w:p w14:paraId="1D92640C" w14:textId="77777777" w:rsidR="00A47F5B" w:rsidRPr="0051157C" w:rsidRDefault="00A47F5B" w:rsidP="00A47F5B">
                  <w:pPr>
                    <w:spacing w:after="0" w:line="240" w:lineRule="auto"/>
                    <w:jc w:val="right"/>
                    <w:rPr>
                      <w:rFonts w:ascii="Aptos" w:eastAsia="Times New Roman" w:hAnsi="Aptos" w:cstheme="majorHAnsi"/>
                    </w:rPr>
                  </w:pPr>
                  <w:r w:rsidRPr="0051157C">
                    <w:rPr>
                      <w:rFonts w:ascii="Aptos" w:eastAsia="Times New Roman" w:hAnsi="Aptos" w:cstheme="majorHAnsi"/>
                    </w:rPr>
                    <w:t>28 800</w:t>
                  </w:r>
                </w:p>
              </w:tc>
              <w:tc>
                <w:tcPr>
                  <w:tcW w:w="910" w:type="dxa"/>
                  <w:tcBorders>
                    <w:top w:val="nil"/>
                    <w:left w:val="nil"/>
                    <w:bottom w:val="single" w:sz="8" w:space="0" w:color="A7A7A7"/>
                    <w:right w:val="single" w:sz="8" w:space="0" w:color="A7A7A7"/>
                  </w:tcBorders>
                  <w:shd w:val="clear" w:color="auto" w:fill="auto"/>
                  <w:vAlign w:val="center"/>
                  <w:hideMark/>
                </w:tcPr>
                <w:p w14:paraId="1414D137" w14:textId="77777777" w:rsidR="00A47F5B" w:rsidRPr="0051157C" w:rsidRDefault="00A47F5B" w:rsidP="00A47F5B">
                  <w:pPr>
                    <w:spacing w:after="0" w:line="240" w:lineRule="auto"/>
                    <w:rPr>
                      <w:rFonts w:ascii="Aptos" w:eastAsia="Times New Roman" w:hAnsi="Aptos" w:cstheme="majorHAnsi"/>
                    </w:rPr>
                  </w:pPr>
                  <w:r w:rsidRPr="0051157C">
                    <w:rPr>
                      <w:rFonts w:ascii="Aptos" w:eastAsia="Times New Roman" w:hAnsi="Aptos" w:cstheme="majorHAnsi"/>
                    </w:rPr>
                    <w:t> </w:t>
                  </w:r>
                </w:p>
              </w:tc>
            </w:tr>
          </w:tbl>
          <w:p w14:paraId="5842590A" w14:textId="77777777" w:rsidR="00A47F5B" w:rsidRDefault="00A47F5B" w:rsidP="00A47F5B">
            <w:pPr>
              <w:jc w:val="both"/>
              <w:rPr>
                <w:rFonts w:ascii="Aptos" w:hAnsi="Aptos" w:cstheme="majorHAnsi"/>
                <w:bCs/>
              </w:rPr>
            </w:pPr>
          </w:p>
          <w:p w14:paraId="6C1EAEDB" w14:textId="3B54297E" w:rsidR="00A47F5B" w:rsidRPr="0051157C" w:rsidRDefault="00A47F5B" w:rsidP="00A47F5B">
            <w:pPr>
              <w:jc w:val="both"/>
              <w:rPr>
                <w:rFonts w:ascii="Aptos" w:hAnsi="Aptos" w:cstheme="majorHAnsi"/>
                <w:bCs/>
              </w:rPr>
            </w:pPr>
            <w:r>
              <w:rPr>
                <w:rFonts w:ascii="Aptos" w:hAnsi="Aptos" w:cstheme="majorHAnsi"/>
                <w:bCs/>
              </w:rPr>
              <w:t>We further recommend that Paragraph 1 in Head B of the Third Schedule should be amended to empower the Cabinet Secretary, National Treasury, to amend the above rates within 10% every three years to account for inflation.</w:t>
            </w:r>
          </w:p>
        </w:tc>
        <w:tc>
          <w:tcPr>
            <w:tcW w:w="4334" w:type="dxa"/>
          </w:tcPr>
          <w:p w14:paraId="7458A83B" w14:textId="77777777" w:rsidR="00A47F5B" w:rsidRPr="0051157C" w:rsidRDefault="00A47F5B" w:rsidP="00A47F5B">
            <w:pPr>
              <w:jc w:val="both"/>
              <w:rPr>
                <w:rFonts w:ascii="Aptos" w:eastAsia="Calibri Light" w:hAnsi="Aptos" w:cstheme="minorHAnsi"/>
              </w:rPr>
            </w:pPr>
            <w:r w:rsidRPr="0051157C">
              <w:rPr>
                <w:rFonts w:ascii="Aptos" w:eastAsia="Calibri Light" w:hAnsi="Aptos" w:cstheme="minorHAnsi"/>
              </w:rPr>
              <w:lastRenderedPageBreak/>
              <w:t xml:space="preserve">Head B of the Third Schedule to the ITA specifies the rates at which income earned by individuals is to be subjected to PAYE. The rates progress from 10%, to 25%, to 30%, 32.5% and the top rate of 35%. Not only are the bands narrow particularly at the lower rates, but the progression is also steep when assessed against comparable countries. In addition, the marginal PAYE tax rate is high for our context. </w:t>
            </w:r>
          </w:p>
          <w:p w14:paraId="083AE82E" w14:textId="77777777" w:rsidR="00A47F5B" w:rsidRPr="0051157C" w:rsidRDefault="00A47F5B" w:rsidP="00A47F5B">
            <w:pPr>
              <w:jc w:val="both"/>
              <w:rPr>
                <w:rFonts w:ascii="Aptos" w:eastAsia="Calibri Light" w:hAnsi="Aptos" w:cstheme="minorHAnsi"/>
              </w:rPr>
            </w:pPr>
          </w:p>
          <w:p w14:paraId="56E9F338" w14:textId="77777777" w:rsidR="00A47F5B" w:rsidRPr="0051157C" w:rsidRDefault="00A47F5B" w:rsidP="00A47F5B">
            <w:pPr>
              <w:jc w:val="both"/>
              <w:rPr>
                <w:rFonts w:ascii="Aptos" w:eastAsia="Calibri Light" w:hAnsi="Aptos" w:cstheme="minorHAnsi"/>
              </w:rPr>
            </w:pPr>
            <w:r w:rsidRPr="0051157C">
              <w:rPr>
                <w:rFonts w:ascii="Aptos" w:eastAsia="Calibri Light" w:hAnsi="Aptos" w:cstheme="minorHAnsi"/>
              </w:rPr>
              <w:t>Comparable countries have better progression in their PAYE rates. For instance, Ghana has 0%, 5%, 10%, 17.5%, 25%, 30%, and 35%. Nigeria has 7%, 11%, 15%, 19%, 21%, and 24%. Ethiopia has 0%, 10%, 15%, 20%, 25%, 30%, and 35%.</w:t>
            </w:r>
          </w:p>
          <w:p w14:paraId="68248242" w14:textId="77777777" w:rsidR="00A47F5B" w:rsidRPr="0051157C" w:rsidRDefault="00A47F5B" w:rsidP="00A47F5B">
            <w:pPr>
              <w:jc w:val="both"/>
              <w:rPr>
                <w:rFonts w:ascii="Aptos" w:eastAsia="Calibri Light" w:hAnsi="Aptos" w:cstheme="minorHAnsi"/>
              </w:rPr>
            </w:pPr>
          </w:p>
          <w:p w14:paraId="5BA612CA" w14:textId="77777777" w:rsidR="00A47F5B" w:rsidRPr="0051157C" w:rsidRDefault="00A47F5B" w:rsidP="00A47F5B">
            <w:pPr>
              <w:jc w:val="both"/>
              <w:rPr>
                <w:rFonts w:ascii="Aptos" w:eastAsia="Calibri Light" w:hAnsi="Aptos" w:cstheme="minorHAnsi"/>
              </w:rPr>
            </w:pPr>
            <w:r w:rsidRPr="0051157C">
              <w:rPr>
                <w:rFonts w:ascii="Aptos" w:eastAsia="Calibri Light" w:hAnsi="Aptos" w:cstheme="minorHAnsi"/>
              </w:rPr>
              <w:lastRenderedPageBreak/>
              <w:t>With regards to expansion of the tax bands, the higher rates in Kenya apply at relatively low incomes leading to excessive taxation of low-income earners. In Kenya, the PAYE rate of 30% in Kenya applies to individuals earning over KES 32,333 per month, compared to the equivalent of KES 255,000 in Ghana, and approximately KES 237,000 in South Africa.  This excessive taxation erodes individuals’ purchasing power, and their ability to save and invest to spur economic growth. It also reduces Kenya’s attractiveness as a destination for top talent who transfer skills to Kenyans, making it ultimately detrimental to our country.</w:t>
            </w:r>
          </w:p>
          <w:p w14:paraId="0D2BB00B" w14:textId="77777777" w:rsidR="00A47F5B" w:rsidRPr="0051157C" w:rsidRDefault="00A47F5B" w:rsidP="00A47F5B">
            <w:pPr>
              <w:jc w:val="both"/>
              <w:rPr>
                <w:rFonts w:ascii="Aptos" w:eastAsia="Calibri Light" w:hAnsi="Aptos" w:cstheme="minorHAnsi"/>
              </w:rPr>
            </w:pPr>
          </w:p>
          <w:p w14:paraId="600D559C" w14:textId="77777777" w:rsidR="00A47F5B" w:rsidRPr="0051157C" w:rsidRDefault="00A47F5B" w:rsidP="00A47F5B">
            <w:pPr>
              <w:jc w:val="both"/>
              <w:rPr>
                <w:rFonts w:ascii="Aptos" w:eastAsia="Calibri Light" w:hAnsi="Aptos" w:cstheme="minorHAnsi"/>
              </w:rPr>
            </w:pPr>
            <w:r w:rsidRPr="0051157C">
              <w:rPr>
                <w:rFonts w:ascii="Aptos" w:eastAsia="Calibri Light" w:hAnsi="Aptos" w:cstheme="minorHAnsi"/>
              </w:rPr>
              <w:t xml:space="preserve">Further, the marginal rate of 35% is 5% higher than the corporate income tax rate of 30%. This means that not only are individuals taxed at rates higher than corporations, but also have a higher tax base considering that individuals are taxed on their gross earnings, while corporations can claim deductions for the expenses incurred in the production of their income. </w:t>
            </w:r>
          </w:p>
          <w:p w14:paraId="7A9A23AD" w14:textId="77777777" w:rsidR="00A47F5B" w:rsidRPr="0051157C" w:rsidRDefault="00A47F5B" w:rsidP="00A47F5B">
            <w:pPr>
              <w:jc w:val="both"/>
              <w:rPr>
                <w:rFonts w:ascii="Aptos" w:eastAsia="Calibri Light" w:hAnsi="Aptos" w:cstheme="minorHAnsi"/>
              </w:rPr>
            </w:pPr>
          </w:p>
          <w:p w14:paraId="0657942B" w14:textId="77777777" w:rsidR="00A47F5B" w:rsidRDefault="00A47F5B" w:rsidP="00A47F5B">
            <w:pPr>
              <w:jc w:val="both"/>
              <w:rPr>
                <w:rFonts w:ascii="Aptos" w:eastAsia="Calibri Light" w:hAnsi="Aptos" w:cstheme="minorHAnsi"/>
              </w:rPr>
            </w:pPr>
            <w:r w:rsidRPr="0051157C">
              <w:rPr>
                <w:rFonts w:ascii="Aptos" w:eastAsia="Calibri Light" w:hAnsi="Aptos" w:cstheme="minorHAnsi"/>
              </w:rPr>
              <w:t xml:space="preserve">We therefore recommend expansion of tax bands, introduction of lower rates of taxation within the PAYE bands for progressivity and capping of the marginal </w:t>
            </w:r>
            <w:r w:rsidRPr="0051157C">
              <w:rPr>
                <w:rFonts w:ascii="Aptos" w:eastAsia="Calibri Light" w:hAnsi="Aptos" w:cstheme="minorHAnsi"/>
              </w:rPr>
              <w:lastRenderedPageBreak/>
              <w:t>tax rate for individuals so that it remains below the corporate income tax rate. </w:t>
            </w:r>
          </w:p>
          <w:p w14:paraId="2421724D" w14:textId="77777777" w:rsidR="00A47F5B" w:rsidRDefault="00A47F5B" w:rsidP="00A47F5B">
            <w:pPr>
              <w:jc w:val="both"/>
              <w:rPr>
                <w:rFonts w:ascii="Aptos" w:eastAsia="Calibri Light" w:hAnsi="Aptos" w:cstheme="minorHAnsi"/>
              </w:rPr>
            </w:pPr>
          </w:p>
          <w:p w14:paraId="556F6F0F" w14:textId="1208A3DF" w:rsidR="00A47F5B" w:rsidRPr="0051157C" w:rsidRDefault="00A47F5B" w:rsidP="00A47F5B">
            <w:pPr>
              <w:jc w:val="both"/>
              <w:rPr>
                <w:rFonts w:ascii="Aptos" w:eastAsia="Calibri Light" w:hAnsi="Aptos" w:cstheme="minorHAnsi"/>
              </w:rPr>
            </w:pPr>
            <w:r>
              <w:rPr>
                <w:rFonts w:ascii="Aptos" w:eastAsia="Calibri Light" w:hAnsi="Aptos" w:cstheme="minorHAnsi"/>
              </w:rPr>
              <w:t>Finally, our recommendation to amend the PAYE rates within 10% every three years is aimed at accounting for inflation, which has a determinable impact on the real wages of taxable individuals. Such impact, in our view, should be considered in the tax rates, hence our recommendation to allow the Cabinet Secretary to make inflationary adjustments to the tax rates.</w:t>
            </w:r>
          </w:p>
          <w:p w14:paraId="68DBF3E2" w14:textId="77777777" w:rsidR="00A47F5B" w:rsidRPr="0051157C" w:rsidRDefault="00A47F5B" w:rsidP="00A47F5B">
            <w:pPr>
              <w:tabs>
                <w:tab w:val="left" w:pos="1322"/>
              </w:tabs>
              <w:jc w:val="both"/>
              <w:rPr>
                <w:rFonts w:ascii="Aptos" w:eastAsia="Calibri Light" w:hAnsi="Aptos" w:cstheme="minorHAnsi"/>
              </w:rPr>
            </w:pPr>
            <w:r w:rsidRPr="0051157C">
              <w:rPr>
                <w:rFonts w:ascii="Aptos" w:eastAsia="Calibri Light" w:hAnsi="Aptos" w:cstheme="minorHAnsi"/>
              </w:rPr>
              <w:tab/>
            </w:r>
          </w:p>
          <w:p w14:paraId="59282321" w14:textId="77777777" w:rsidR="00A47F5B" w:rsidRPr="0051157C" w:rsidRDefault="00A47F5B" w:rsidP="00A47F5B">
            <w:pPr>
              <w:jc w:val="both"/>
              <w:rPr>
                <w:rFonts w:ascii="Aptos" w:eastAsia="Calibri Light" w:hAnsi="Aptos" w:cstheme="minorHAnsi"/>
              </w:rPr>
            </w:pPr>
            <w:r w:rsidRPr="0051157C">
              <w:rPr>
                <w:rFonts w:ascii="Aptos" w:eastAsia="Calibri Light" w:hAnsi="Aptos" w:cstheme="minorHAnsi"/>
              </w:rPr>
              <w:t>Sources:</w:t>
            </w:r>
          </w:p>
          <w:p w14:paraId="73D896C1" w14:textId="77777777" w:rsidR="00A47F5B" w:rsidRPr="0051157C" w:rsidRDefault="00A47F5B" w:rsidP="00A47F5B">
            <w:pPr>
              <w:jc w:val="both"/>
              <w:rPr>
                <w:rFonts w:ascii="Aptos" w:eastAsia="Calibri Light" w:hAnsi="Aptos" w:cstheme="minorHAnsi"/>
              </w:rPr>
            </w:pPr>
            <w:hyperlink r:id="rId22" w:history="1">
              <w:r w:rsidRPr="0051157C">
                <w:rPr>
                  <w:rFonts w:ascii="Aptos" w:eastAsia="Calibri Light" w:hAnsi="Aptos" w:cstheme="minorHAnsi"/>
                </w:rPr>
                <w:t>Nigeria Personal Income Tax Act</w:t>
              </w:r>
            </w:hyperlink>
          </w:p>
          <w:p w14:paraId="571C6E49" w14:textId="77777777" w:rsidR="00A47F5B" w:rsidRPr="0051157C" w:rsidRDefault="00A47F5B" w:rsidP="00A47F5B">
            <w:pPr>
              <w:jc w:val="both"/>
              <w:rPr>
                <w:rFonts w:ascii="Aptos" w:eastAsia="Calibri Light" w:hAnsi="Aptos" w:cstheme="minorHAnsi"/>
              </w:rPr>
            </w:pPr>
            <w:hyperlink r:id="rId23" w:history="1">
              <w:r w:rsidRPr="0051157C">
                <w:rPr>
                  <w:rFonts w:ascii="Aptos" w:eastAsia="Calibri Light" w:hAnsi="Aptos" w:cstheme="minorHAnsi"/>
                </w:rPr>
                <w:t>Ghana Revenue Authority website</w:t>
              </w:r>
            </w:hyperlink>
          </w:p>
          <w:p w14:paraId="70270390" w14:textId="77777777" w:rsidR="00A47F5B" w:rsidRPr="0051157C" w:rsidRDefault="00A47F5B" w:rsidP="00A47F5B">
            <w:pPr>
              <w:jc w:val="both"/>
              <w:rPr>
                <w:rFonts w:ascii="Aptos" w:hAnsi="Aptos" w:cstheme="majorHAnsi"/>
                <w:bCs/>
              </w:rPr>
            </w:pPr>
          </w:p>
        </w:tc>
      </w:tr>
      <w:tr w:rsidR="00A47F5B" w:rsidRPr="0051157C" w14:paraId="24AE4BD1" w14:textId="77777777" w:rsidTr="009A3429">
        <w:tc>
          <w:tcPr>
            <w:tcW w:w="535" w:type="dxa"/>
          </w:tcPr>
          <w:p w14:paraId="3345CBF7" w14:textId="2511170D" w:rsidR="00A47F5B" w:rsidRDefault="005265D6" w:rsidP="00A47F5B">
            <w:pPr>
              <w:jc w:val="both"/>
              <w:rPr>
                <w:rFonts w:ascii="Aptos" w:hAnsi="Aptos" w:cstheme="minorHAnsi"/>
                <w:b/>
              </w:rPr>
            </w:pPr>
            <w:r>
              <w:rPr>
                <w:rFonts w:ascii="Aptos" w:hAnsi="Aptos" w:cstheme="minorHAnsi"/>
                <w:b/>
              </w:rPr>
              <w:lastRenderedPageBreak/>
              <w:t>3</w:t>
            </w:r>
            <w:r w:rsidR="00A47F5B">
              <w:rPr>
                <w:rFonts w:ascii="Aptos" w:hAnsi="Aptos" w:cstheme="minorHAnsi"/>
                <w:b/>
              </w:rPr>
              <w:t>.</w:t>
            </w:r>
          </w:p>
        </w:tc>
        <w:tc>
          <w:tcPr>
            <w:tcW w:w="1949" w:type="dxa"/>
          </w:tcPr>
          <w:p w14:paraId="69A67CA5" w14:textId="4469538C" w:rsidR="00A47F5B" w:rsidRDefault="00A47F5B" w:rsidP="00A47F5B">
            <w:pPr>
              <w:jc w:val="both"/>
              <w:rPr>
                <w:rFonts w:ascii="Aptos" w:hAnsi="Aptos" w:cstheme="minorHAnsi"/>
                <w:b/>
                <w:bCs/>
              </w:rPr>
            </w:pPr>
            <w:r>
              <w:rPr>
                <w:rFonts w:ascii="Aptos" w:hAnsi="Aptos" w:cstheme="minorHAnsi"/>
                <w:b/>
                <w:bCs/>
              </w:rPr>
              <w:t>Section 5, 22A and 22B of the ITA</w:t>
            </w:r>
          </w:p>
          <w:p w14:paraId="4512DF0D" w14:textId="77777777" w:rsidR="00A47F5B" w:rsidRDefault="00A47F5B" w:rsidP="00A47F5B">
            <w:pPr>
              <w:jc w:val="both"/>
              <w:rPr>
                <w:rFonts w:ascii="Aptos" w:hAnsi="Aptos" w:cstheme="minorHAnsi"/>
                <w:b/>
                <w:bCs/>
              </w:rPr>
            </w:pPr>
          </w:p>
          <w:p w14:paraId="63069285" w14:textId="1FEB4102" w:rsidR="00A47F5B" w:rsidRDefault="00A47F5B" w:rsidP="00A47F5B">
            <w:pPr>
              <w:jc w:val="both"/>
              <w:rPr>
                <w:rFonts w:ascii="Aptos" w:hAnsi="Aptos" w:cstheme="minorHAnsi"/>
                <w:b/>
                <w:bCs/>
              </w:rPr>
            </w:pPr>
            <w:r>
              <w:rPr>
                <w:rFonts w:ascii="Aptos" w:hAnsi="Aptos" w:cstheme="minorHAnsi"/>
                <w:b/>
                <w:bCs/>
              </w:rPr>
              <w:t>Increase in the limit of allowable pension contributions.</w:t>
            </w:r>
          </w:p>
          <w:p w14:paraId="17AE8B57" w14:textId="71ABAB8F" w:rsidR="00A47F5B" w:rsidRDefault="00A47F5B" w:rsidP="00A47F5B">
            <w:pPr>
              <w:jc w:val="both"/>
              <w:rPr>
                <w:rFonts w:ascii="Aptos" w:hAnsi="Aptos" w:cstheme="minorHAnsi"/>
                <w:b/>
                <w:bCs/>
              </w:rPr>
            </w:pPr>
          </w:p>
        </w:tc>
        <w:tc>
          <w:tcPr>
            <w:tcW w:w="7636" w:type="dxa"/>
          </w:tcPr>
          <w:p w14:paraId="59B54B7E" w14:textId="08CC38C0" w:rsidR="00A47F5B" w:rsidRDefault="00A47F5B" w:rsidP="00A47F5B">
            <w:pPr>
              <w:jc w:val="both"/>
              <w:rPr>
                <w:rFonts w:ascii="Aptos" w:hAnsi="Aptos" w:cstheme="majorHAnsi"/>
                <w:bCs/>
              </w:rPr>
            </w:pPr>
            <w:r>
              <w:rPr>
                <w:rFonts w:ascii="Aptos" w:hAnsi="Aptos" w:cstheme="majorHAnsi"/>
                <w:bCs/>
              </w:rPr>
              <w:t>We recommend the amendment of sections 5, 22A and 22B of the ITA to</w:t>
            </w:r>
            <w:r w:rsidRPr="000573A0">
              <w:rPr>
                <w:rFonts w:ascii="Aptos" w:hAnsi="Aptos" w:cstheme="majorHAnsi"/>
                <w:bCs/>
              </w:rPr>
              <w:t xml:space="preserve"> increase the allowable deduction</w:t>
            </w:r>
            <w:r>
              <w:rPr>
                <w:rFonts w:ascii="Aptos" w:hAnsi="Aptos" w:cstheme="majorHAnsi"/>
                <w:bCs/>
              </w:rPr>
              <w:t xml:space="preserve"> for pension contributions</w:t>
            </w:r>
            <w:r w:rsidRPr="000573A0">
              <w:rPr>
                <w:rFonts w:ascii="Aptos" w:hAnsi="Aptos" w:cstheme="majorHAnsi"/>
                <w:bCs/>
              </w:rPr>
              <w:t xml:space="preserve"> to either </w:t>
            </w:r>
            <w:r>
              <w:rPr>
                <w:rFonts w:ascii="Aptos" w:hAnsi="Aptos" w:cstheme="majorHAnsi"/>
                <w:bCs/>
              </w:rPr>
              <w:t xml:space="preserve">the </w:t>
            </w:r>
            <w:r w:rsidRPr="000573A0">
              <w:rPr>
                <w:rFonts w:ascii="Aptos" w:hAnsi="Aptos" w:cstheme="majorHAnsi"/>
                <w:bCs/>
              </w:rPr>
              <w:t>lower of actual contribution</w:t>
            </w:r>
            <w:r>
              <w:rPr>
                <w:rFonts w:ascii="Aptos" w:hAnsi="Aptos" w:cstheme="majorHAnsi"/>
                <w:bCs/>
              </w:rPr>
              <w:t>s</w:t>
            </w:r>
            <w:r w:rsidRPr="000573A0">
              <w:rPr>
                <w:rFonts w:ascii="Aptos" w:hAnsi="Aptos" w:cstheme="majorHAnsi"/>
                <w:bCs/>
              </w:rPr>
              <w:t xml:space="preserve"> or 6% of pensionable income. </w:t>
            </w:r>
          </w:p>
          <w:p w14:paraId="3DF4DE93" w14:textId="77777777" w:rsidR="00A47F5B" w:rsidRDefault="00A47F5B" w:rsidP="00A47F5B">
            <w:pPr>
              <w:jc w:val="both"/>
              <w:rPr>
                <w:rFonts w:ascii="Aptos" w:hAnsi="Aptos" w:cstheme="majorHAnsi"/>
                <w:bCs/>
              </w:rPr>
            </w:pPr>
          </w:p>
          <w:p w14:paraId="1E243C75" w14:textId="4656B262" w:rsidR="00A47F5B" w:rsidRDefault="00A47F5B" w:rsidP="00A47F5B">
            <w:pPr>
              <w:jc w:val="both"/>
              <w:rPr>
                <w:rFonts w:ascii="Aptos" w:hAnsi="Aptos" w:cstheme="majorHAnsi"/>
                <w:bCs/>
              </w:rPr>
            </w:pPr>
            <w:r w:rsidRPr="000573A0">
              <w:rPr>
                <w:rFonts w:ascii="Aptos" w:hAnsi="Aptos" w:cstheme="majorHAnsi"/>
                <w:bCs/>
              </w:rPr>
              <w:t>In the alternative</w:t>
            </w:r>
            <w:r>
              <w:rPr>
                <w:rFonts w:ascii="Aptos" w:hAnsi="Aptos" w:cstheme="majorHAnsi"/>
                <w:bCs/>
              </w:rPr>
              <w:t>, we propose an</w:t>
            </w:r>
            <w:r w:rsidRPr="000573A0">
              <w:rPr>
                <w:rFonts w:ascii="Aptos" w:hAnsi="Aptos" w:cstheme="majorHAnsi"/>
                <w:bCs/>
              </w:rPr>
              <w:t xml:space="preserve"> increase </w:t>
            </w:r>
            <w:r>
              <w:rPr>
                <w:rFonts w:ascii="Aptos" w:hAnsi="Aptos" w:cstheme="majorHAnsi"/>
                <w:bCs/>
              </w:rPr>
              <w:t xml:space="preserve">in </w:t>
            </w:r>
            <w:r w:rsidRPr="000573A0">
              <w:rPr>
                <w:rFonts w:ascii="Aptos" w:hAnsi="Aptos" w:cstheme="majorHAnsi"/>
                <w:bCs/>
              </w:rPr>
              <w:t xml:space="preserve">the current allowable limit </w:t>
            </w:r>
            <w:r>
              <w:rPr>
                <w:rFonts w:ascii="Aptos" w:hAnsi="Aptos" w:cstheme="majorHAnsi"/>
                <w:bCs/>
              </w:rPr>
              <w:t xml:space="preserve">from KES 360,000 per annum </w:t>
            </w:r>
            <w:r w:rsidRPr="000573A0">
              <w:rPr>
                <w:rFonts w:ascii="Aptos" w:hAnsi="Aptos" w:cstheme="majorHAnsi"/>
                <w:bCs/>
              </w:rPr>
              <w:t xml:space="preserve">to KES 480.000 </w:t>
            </w:r>
            <w:r>
              <w:rPr>
                <w:rFonts w:ascii="Aptos" w:hAnsi="Aptos" w:cstheme="majorHAnsi"/>
                <w:bCs/>
              </w:rPr>
              <w:t>per annum.</w:t>
            </w:r>
          </w:p>
        </w:tc>
        <w:tc>
          <w:tcPr>
            <w:tcW w:w="4334" w:type="dxa"/>
          </w:tcPr>
          <w:p w14:paraId="54B682C4" w14:textId="3F10601F" w:rsidR="00A47F5B" w:rsidRDefault="00A47F5B" w:rsidP="00A47F5B">
            <w:pPr>
              <w:jc w:val="both"/>
              <w:rPr>
                <w:rFonts w:ascii="Aptos" w:hAnsi="Aptos" w:cstheme="majorHAnsi"/>
                <w:bCs/>
              </w:rPr>
            </w:pPr>
            <w:r>
              <w:rPr>
                <w:rFonts w:ascii="Aptos" w:hAnsi="Aptos" w:cstheme="majorHAnsi"/>
                <w:bCs/>
              </w:rPr>
              <w:t>An increase</w:t>
            </w:r>
            <w:r w:rsidRPr="00062A2D">
              <w:rPr>
                <w:rFonts w:ascii="Aptos" w:hAnsi="Aptos" w:cstheme="majorHAnsi"/>
                <w:bCs/>
              </w:rPr>
              <w:t xml:space="preserve"> in the pension/provident fund deduction rates will </w:t>
            </w:r>
            <w:r>
              <w:rPr>
                <w:rFonts w:ascii="Aptos" w:hAnsi="Aptos" w:cstheme="majorHAnsi"/>
                <w:bCs/>
              </w:rPr>
              <w:t>result in increased savings in</w:t>
            </w:r>
            <w:r w:rsidRPr="00062A2D">
              <w:rPr>
                <w:rFonts w:ascii="Aptos" w:hAnsi="Aptos" w:cstheme="majorHAnsi"/>
                <w:bCs/>
              </w:rPr>
              <w:t xml:space="preserve"> pension </w:t>
            </w:r>
            <w:r>
              <w:rPr>
                <w:rFonts w:ascii="Aptos" w:hAnsi="Aptos" w:cstheme="majorHAnsi"/>
                <w:bCs/>
              </w:rPr>
              <w:t>schemes and promote a saving culture, which would align with the government’s agenda to ensure a stable retirement and boosting our savings rate.</w:t>
            </w:r>
          </w:p>
          <w:p w14:paraId="6F3022A7" w14:textId="7B39A6BC" w:rsidR="00A47F5B" w:rsidRDefault="00A47F5B" w:rsidP="00A47F5B">
            <w:pPr>
              <w:jc w:val="both"/>
              <w:rPr>
                <w:rFonts w:ascii="Aptos" w:hAnsi="Aptos" w:cstheme="majorHAnsi"/>
                <w:bCs/>
              </w:rPr>
            </w:pPr>
          </w:p>
        </w:tc>
      </w:tr>
      <w:tr w:rsidR="00A47F5B" w:rsidRPr="0051157C" w14:paraId="562AB601" w14:textId="77777777" w:rsidTr="009A3429">
        <w:tc>
          <w:tcPr>
            <w:tcW w:w="535" w:type="dxa"/>
          </w:tcPr>
          <w:p w14:paraId="5365C085" w14:textId="16A25AA6" w:rsidR="00A47F5B" w:rsidRDefault="00E9775B" w:rsidP="00A47F5B">
            <w:pPr>
              <w:jc w:val="both"/>
              <w:rPr>
                <w:rFonts w:ascii="Aptos" w:hAnsi="Aptos" w:cstheme="minorHAnsi"/>
                <w:b/>
              </w:rPr>
            </w:pPr>
            <w:r>
              <w:rPr>
                <w:rFonts w:ascii="Aptos" w:hAnsi="Aptos" w:cstheme="minorHAnsi"/>
                <w:b/>
              </w:rPr>
              <w:t>4</w:t>
            </w:r>
            <w:r w:rsidR="00A47F5B">
              <w:rPr>
                <w:rFonts w:ascii="Aptos" w:hAnsi="Aptos" w:cstheme="minorHAnsi"/>
                <w:b/>
              </w:rPr>
              <w:t>.</w:t>
            </w:r>
          </w:p>
          <w:p w14:paraId="2C9180BD" w14:textId="77777777" w:rsidR="0030094B" w:rsidRDefault="0030094B" w:rsidP="00A47F5B">
            <w:pPr>
              <w:jc w:val="both"/>
              <w:rPr>
                <w:rFonts w:ascii="Aptos" w:hAnsi="Aptos" w:cstheme="minorHAnsi"/>
                <w:b/>
              </w:rPr>
            </w:pPr>
          </w:p>
          <w:p w14:paraId="7FCD827F" w14:textId="77777777" w:rsidR="0030094B" w:rsidRDefault="0030094B" w:rsidP="00A47F5B">
            <w:pPr>
              <w:jc w:val="both"/>
              <w:rPr>
                <w:rFonts w:ascii="Aptos" w:hAnsi="Aptos" w:cstheme="minorHAnsi"/>
                <w:b/>
              </w:rPr>
            </w:pPr>
          </w:p>
          <w:p w14:paraId="46AC307E" w14:textId="77777777" w:rsidR="0030094B" w:rsidRDefault="0030094B" w:rsidP="00A47F5B">
            <w:pPr>
              <w:jc w:val="both"/>
              <w:rPr>
                <w:rFonts w:ascii="Aptos" w:hAnsi="Aptos" w:cstheme="minorHAnsi"/>
                <w:b/>
              </w:rPr>
            </w:pPr>
          </w:p>
          <w:p w14:paraId="182316CE" w14:textId="77777777" w:rsidR="0030094B" w:rsidRDefault="0030094B" w:rsidP="00A47F5B">
            <w:pPr>
              <w:jc w:val="both"/>
              <w:rPr>
                <w:rFonts w:ascii="Aptos" w:hAnsi="Aptos" w:cstheme="minorHAnsi"/>
                <w:b/>
              </w:rPr>
            </w:pPr>
          </w:p>
          <w:p w14:paraId="37BEEF16" w14:textId="77777777" w:rsidR="0030094B" w:rsidRDefault="0030094B" w:rsidP="00A47F5B">
            <w:pPr>
              <w:jc w:val="both"/>
              <w:rPr>
                <w:rFonts w:ascii="Aptos" w:hAnsi="Aptos" w:cstheme="minorHAnsi"/>
                <w:b/>
              </w:rPr>
            </w:pPr>
          </w:p>
          <w:p w14:paraId="61D675B2" w14:textId="56FA93E2" w:rsidR="0030094B" w:rsidRDefault="00E9775B" w:rsidP="00A47F5B">
            <w:pPr>
              <w:jc w:val="both"/>
              <w:rPr>
                <w:rFonts w:ascii="Aptos" w:hAnsi="Aptos" w:cstheme="minorHAnsi"/>
                <w:b/>
              </w:rPr>
            </w:pPr>
            <w:r>
              <w:rPr>
                <w:rFonts w:ascii="Aptos" w:hAnsi="Aptos" w:cstheme="minorHAnsi"/>
                <w:b/>
              </w:rPr>
              <w:lastRenderedPageBreak/>
              <w:t>5</w:t>
            </w:r>
            <w:r w:rsidR="0030094B">
              <w:rPr>
                <w:rFonts w:ascii="Aptos" w:hAnsi="Aptos" w:cstheme="minorHAnsi"/>
                <w:b/>
              </w:rPr>
              <w:t>.</w:t>
            </w:r>
          </w:p>
          <w:p w14:paraId="4A27EEBF" w14:textId="77777777" w:rsidR="0030094B" w:rsidRDefault="0030094B" w:rsidP="00A47F5B">
            <w:pPr>
              <w:jc w:val="both"/>
              <w:rPr>
                <w:rFonts w:ascii="Aptos" w:hAnsi="Aptos" w:cstheme="minorHAnsi"/>
                <w:b/>
              </w:rPr>
            </w:pPr>
          </w:p>
          <w:p w14:paraId="52DE3453" w14:textId="06DFB264" w:rsidR="0030094B" w:rsidRPr="0051157C" w:rsidRDefault="0030094B" w:rsidP="00A47F5B">
            <w:pPr>
              <w:jc w:val="both"/>
              <w:rPr>
                <w:rFonts w:ascii="Aptos" w:hAnsi="Aptos" w:cstheme="minorHAnsi"/>
                <w:b/>
              </w:rPr>
            </w:pPr>
          </w:p>
        </w:tc>
        <w:tc>
          <w:tcPr>
            <w:tcW w:w="1949" w:type="dxa"/>
          </w:tcPr>
          <w:p w14:paraId="2CB6C361" w14:textId="073169EC" w:rsidR="00A47F5B" w:rsidRDefault="00A47F5B" w:rsidP="00A47F5B">
            <w:pPr>
              <w:jc w:val="both"/>
              <w:rPr>
                <w:rFonts w:ascii="Aptos" w:hAnsi="Aptos" w:cstheme="minorHAnsi"/>
                <w:b/>
                <w:bCs/>
              </w:rPr>
            </w:pPr>
            <w:r>
              <w:rPr>
                <w:rFonts w:ascii="Aptos" w:hAnsi="Aptos" w:cstheme="minorHAnsi"/>
                <w:b/>
                <w:bCs/>
              </w:rPr>
              <w:lastRenderedPageBreak/>
              <w:t>Section 4(2) and 5(2) of the Affordable Housing Act, 2024</w:t>
            </w:r>
          </w:p>
          <w:p w14:paraId="3514A4ED" w14:textId="77777777" w:rsidR="00A47F5B" w:rsidRDefault="00A47F5B" w:rsidP="00A47F5B">
            <w:pPr>
              <w:jc w:val="both"/>
              <w:rPr>
                <w:rFonts w:ascii="Aptos" w:hAnsi="Aptos" w:cstheme="minorHAnsi"/>
                <w:b/>
                <w:bCs/>
              </w:rPr>
            </w:pPr>
          </w:p>
          <w:p w14:paraId="6B1540D9" w14:textId="05C248BD" w:rsidR="00A47F5B" w:rsidRDefault="00A47F5B" w:rsidP="00A47F5B">
            <w:pPr>
              <w:jc w:val="both"/>
              <w:rPr>
                <w:rFonts w:ascii="Aptos" w:hAnsi="Aptos" w:cstheme="minorHAnsi"/>
                <w:b/>
                <w:bCs/>
              </w:rPr>
            </w:pPr>
            <w:r>
              <w:rPr>
                <w:rFonts w:ascii="Aptos" w:hAnsi="Aptos" w:cstheme="minorHAnsi"/>
                <w:b/>
                <w:bCs/>
              </w:rPr>
              <w:lastRenderedPageBreak/>
              <w:t>Affordable Housing Levy rate</w:t>
            </w:r>
          </w:p>
          <w:p w14:paraId="071A3F63" w14:textId="77777777" w:rsidR="00A47F5B" w:rsidRDefault="00A47F5B" w:rsidP="00A47F5B">
            <w:pPr>
              <w:jc w:val="both"/>
              <w:rPr>
                <w:rFonts w:ascii="Aptos" w:hAnsi="Aptos" w:cstheme="minorHAnsi"/>
                <w:b/>
                <w:bCs/>
              </w:rPr>
            </w:pPr>
          </w:p>
          <w:p w14:paraId="318A29B9" w14:textId="41F23432" w:rsidR="00A47F5B" w:rsidRPr="0036586C" w:rsidDel="00B643DB" w:rsidRDefault="00A47F5B" w:rsidP="00A47F5B">
            <w:pPr>
              <w:jc w:val="both"/>
              <w:rPr>
                <w:rFonts w:ascii="Aptos" w:hAnsi="Aptos" w:cstheme="minorHAnsi"/>
                <w:b/>
                <w:bCs/>
              </w:rPr>
            </w:pPr>
          </w:p>
        </w:tc>
        <w:tc>
          <w:tcPr>
            <w:tcW w:w="7636" w:type="dxa"/>
          </w:tcPr>
          <w:p w14:paraId="12F1AECF" w14:textId="4FCDC085" w:rsidR="00A47F5B" w:rsidRDefault="00A47F5B" w:rsidP="00A47F5B">
            <w:pPr>
              <w:jc w:val="both"/>
              <w:rPr>
                <w:rFonts w:ascii="Aptos" w:hAnsi="Aptos" w:cstheme="majorHAnsi"/>
                <w:bCs/>
              </w:rPr>
            </w:pPr>
            <w:r>
              <w:rPr>
                <w:rFonts w:ascii="Aptos" w:hAnsi="Aptos" w:cstheme="majorHAnsi"/>
                <w:bCs/>
              </w:rPr>
              <w:lastRenderedPageBreak/>
              <w:t>We recommend the amendment of Section 4(2) of the Affordable Housing Act to reduce the applicable rate of the affordable housing levy from 1.5% of gross income to 0.5% of the gross income earned.</w:t>
            </w:r>
          </w:p>
          <w:p w14:paraId="5F1800C2" w14:textId="77777777" w:rsidR="00A47F5B" w:rsidRDefault="00A47F5B" w:rsidP="00A47F5B">
            <w:pPr>
              <w:jc w:val="both"/>
              <w:rPr>
                <w:rFonts w:ascii="Aptos" w:hAnsi="Aptos" w:cstheme="majorHAnsi"/>
                <w:bCs/>
              </w:rPr>
            </w:pPr>
          </w:p>
          <w:p w14:paraId="1C6F6252" w14:textId="46ED4E88" w:rsidR="00A47F5B" w:rsidRPr="0051157C" w:rsidRDefault="00A47F5B" w:rsidP="00A47F5B">
            <w:pPr>
              <w:jc w:val="both"/>
              <w:rPr>
                <w:rFonts w:ascii="Aptos" w:hAnsi="Aptos" w:cstheme="majorHAnsi"/>
                <w:bCs/>
              </w:rPr>
            </w:pPr>
            <w:r>
              <w:rPr>
                <w:rFonts w:ascii="Aptos" w:hAnsi="Aptos" w:cstheme="majorHAnsi"/>
                <w:bCs/>
              </w:rPr>
              <w:t>In the alternative, we recommend the introduction of a cap of KES 10,000 per individual per month; or KES 120,000 per annum.</w:t>
            </w:r>
            <w:r w:rsidRPr="00B643DB">
              <w:rPr>
                <w:rFonts w:ascii="Aptos" w:hAnsi="Aptos" w:cstheme="majorHAnsi"/>
                <w:bCs/>
              </w:rPr>
              <w:t xml:space="preserve"> </w:t>
            </w:r>
            <w:r>
              <w:rPr>
                <w:rFonts w:ascii="Aptos" w:hAnsi="Aptos" w:cstheme="majorHAnsi"/>
                <w:bCs/>
              </w:rPr>
              <w:t xml:space="preserve">For employees, the cap of KES </w:t>
            </w:r>
            <w:r>
              <w:rPr>
                <w:rFonts w:ascii="Aptos" w:hAnsi="Aptos" w:cstheme="majorHAnsi"/>
                <w:bCs/>
              </w:rPr>
              <w:lastRenderedPageBreak/>
              <w:t>10,000 per month should apply to the matching contribution made by employers under Section 5(2) of the Affordable Housing Act.</w:t>
            </w:r>
          </w:p>
        </w:tc>
        <w:tc>
          <w:tcPr>
            <w:tcW w:w="4334" w:type="dxa"/>
          </w:tcPr>
          <w:p w14:paraId="20552120" w14:textId="4E1BF118" w:rsidR="00A47F5B" w:rsidRDefault="00A47F5B" w:rsidP="00A47F5B">
            <w:pPr>
              <w:jc w:val="both"/>
              <w:rPr>
                <w:rFonts w:ascii="Aptos" w:hAnsi="Aptos" w:cstheme="majorHAnsi"/>
                <w:bCs/>
              </w:rPr>
            </w:pPr>
            <w:r>
              <w:rPr>
                <w:rFonts w:ascii="Aptos" w:hAnsi="Aptos" w:cstheme="majorHAnsi"/>
                <w:bCs/>
              </w:rPr>
              <w:lastRenderedPageBreak/>
              <w:t xml:space="preserve">Since the introduction of the affordable housing levy in 2023, and in the wake of increased social security and health insurance contributions, wage earners have encountered significant hardships on reduced incomes. Our proposal will help </w:t>
            </w:r>
            <w:r>
              <w:rPr>
                <w:rFonts w:ascii="Aptos" w:hAnsi="Aptos" w:cstheme="majorHAnsi"/>
                <w:bCs/>
              </w:rPr>
              <w:lastRenderedPageBreak/>
              <w:t>alleviate this difficulty by increasing disposable income. This outcome would also be favourable for the government, as it would lead to higher spending and more taxes on consumption.</w:t>
            </w:r>
          </w:p>
          <w:p w14:paraId="411A05F2" w14:textId="77777777" w:rsidR="00A47F5B" w:rsidRDefault="00A47F5B" w:rsidP="00A47F5B">
            <w:pPr>
              <w:jc w:val="both"/>
              <w:rPr>
                <w:rFonts w:ascii="Aptos" w:hAnsi="Aptos" w:cstheme="majorHAnsi"/>
                <w:bCs/>
              </w:rPr>
            </w:pPr>
          </w:p>
          <w:p w14:paraId="26AF328A" w14:textId="5BE97456" w:rsidR="00A47F5B" w:rsidRDefault="00A47F5B" w:rsidP="00A47F5B">
            <w:pPr>
              <w:jc w:val="both"/>
              <w:rPr>
                <w:rFonts w:ascii="Aptos" w:hAnsi="Aptos" w:cstheme="majorHAnsi"/>
                <w:bCs/>
              </w:rPr>
            </w:pPr>
            <w:r>
              <w:rPr>
                <w:rFonts w:ascii="Aptos" w:hAnsi="Aptos" w:cstheme="majorHAnsi"/>
                <w:bCs/>
              </w:rPr>
              <w:t>In addition, we note that the current collections are not being absorbed in a timely manner. Further, the government is already collecting funds from the sale of the completed houses. As such, there is no need for the current high rate of the levy, and the levy contributed from the reduced rate can be used as a revolving fund.</w:t>
            </w:r>
          </w:p>
          <w:p w14:paraId="781B9B88" w14:textId="0D20A492" w:rsidR="00A47F5B" w:rsidRPr="0051157C" w:rsidRDefault="00A47F5B" w:rsidP="00A47F5B">
            <w:pPr>
              <w:jc w:val="both"/>
              <w:rPr>
                <w:rFonts w:ascii="Aptos" w:eastAsia="Calibri Light" w:hAnsi="Aptos" w:cstheme="minorHAnsi"/>
              </w:rPr>
            </w:pPr>
          </w:p>
        </w:tc>
      </w:tr>
      <w:tr w:rsidR="00A47F5B" w:rsidRPr="0051157C" w14:paraId="2834D019" w14:textId="77777777" w:rsidTr="00667088">
        <w:tc>
          <w:tcPr>
            <w:tcW w:w="14454" w:type="dxa"/>
            <w:gridSpan w:val="4"/>
          </w:tcPr>
          <w:p w14:paraId="54FA7A5B" w14:textId="20EFF01E" w:rsidR="00A47F5B" w:rsidRPr="0051157C" w:rsidRDefault="00A47F5B" w:rsidP="00E9775B">
            <w:pPr>
              <w:pStyle w:val="ListParagraph"/>
              <w:numPr>
                <w:ilvl w:val="0"/>
                <w:numId w:val="2"/>
              </w:numPr>
              <w:jc w:val="center"/>
              <w:rPr>
                <w:rFonts w:ascii="Aptos" w:hAnsi="Aptos" w:cstheme="majorHAnsi"/>
                <w:b/>
              </w:rPr>
            </w:pPr>
            <w:r w:rsidRPr="0051157C">
              <w:rPr>
                <w:rFonts w:ascii="Aptos" w:hAnsi="Aptos" w:cstheme="majorHAnsi"/>
                <w:b/>
              </w:rPr>
              <w:lastRenderedPageBreak/>
              <w:t>Income Tax- Withholding</w:t>
            </w:r>
          </w:p>
        </w:tc>
      </w:tr>
      <w:tr w:rsidR="00A47F5B" w:rsidRPr="0051157C" w14:paraId="63BA4F73" w14:textId="77777777" w:rsidTr="009A3429">
        <w:tc>
          <w:tcPr>
            <w:tcW w:w="535" w:type="dxa"/>
          </w:tcPr>
          <w:p w14:paraId="709F7DFA" w14:textId="723AE43D" w:rsidR="00A47F5B" w:rsidRPr="0051157C" w:rsidRDefault="00A47F5B" w:rsidP="00A47F5B">
            <w:pPr>
              <w:jc w:val="both"/>
              <w:rPr>
                <w:rFonts w:ascii="Aptos" w:hAnsi="Aptos" w:cstheme="minorHAnsi"/>
                <w:b/>
              </w:rPr>
            </w:pPr>
            <w:r w:rsidRPr="0051157C">
              <w:rPr>
                <w:rFonts w:ascii="Aptos" w:hAnsi="Aptos" w:cstheme="minorHAnsi"/>
                <w:b/>
              </w:rPr>
              <w:t>1.</w:t>
            </w:r>
          </w:p>
        </w:tc>
        <w:tc>
          <w:tcPr>
            <w:tcW w:w="1949" w:type="dxa"/>
          </w:tcPr>
          <w:p w14:paraId="3827D1EB" w14:textId="77777777" w:rsidR="00A47F5B" w:rsidRPr="0051157C" w:rsidRDefault="00A47F5B" w:rsidP="00A47F5B">
            <w:pPr>
              <w:rPr>
                <w:rFonts w:ascii="Aptos" w:hAnsi="Aptos"/>
                <w:b/>
                <w:bCs/>
              </w:rPr>
            </w:pPr>
            <w:r w:rsidRPr="0051157C">
              <w:rPr>
                <w:rFonts w:ascii="Aptos" w:hAnsi="Aptos"/>
                <w:b/>
                <w:bCs/>
              </w:rPr>
              <w:t>Clause 16 (a)</w:t>
            </w:r>
          </w:p>
          <w:p w14:paraId="6AACF272" w14:textId="77777777" w:rsidR="00A47F5B" w:rsidRPr="0051157C" w:rsidRDefault="00A47F5B" w:rsidP="00A47F5B">
            <w:pPr>
              <w:rPr>
                <w:rFonts w:ascii="Aptos" w:hAnsi="Aptos"/>
                <w:b/>
                <w:bCs/>
              </w:rPr>
            </w:pPr>
          </w:p>
          <w:p w14:paraId="31B0C619" w14:textId="07DDE399" w:rsidR="00A47F5B" w:rsidRPr="0051157C" w:rsidRDefault="00A47F5B" w:rsidP="00A47F5B">
            <w:pPr>
              <w:jc w:val="both"/>
              <w:rPr>
                <w:rFonts w:ascii="Aptos" w:hAnsi="Aptos" w:cstheme="minorHAnsi"/>
                <w:b/>
              </w:rPr>
            </w:pPr>
            <w:r w:rsidRPr="0051157C">
              <w:rPr>
                <w:rFonts w:ascii="Aptos" w:hAnsi="Aptos"/>
                <w:b/>
                <w:bCs/>
              </w:rPr>
              <w:t>Withholding tax on freight charges to ship owners or charterers ship</w:t>
            </w:r>
          </w:p>
        </w:tc>
        <w:tc>
          <w:tcPr>
            <w:tcW w:w="7636" w:type="dxa"/>
          </w:tcPr>
          <w:p w14:paraId="66711270" w14:textId="77777777" w:rsidR="00A47F5B" w:rsidRPr="0051157C" w:rsidRDefault="00A47F5B" w:rsidP="00A47F5B">
            <w:pPr>
              <w:rPr>
                <w:rFonts w:ascii="Aptos" w:hAnsi="Aptos"/>
              </w:rPr>
            </w:pPr>
            <w:r w:rsidRPr="0051157C">
              <w:rPr>
                <w:rFonts w:ascii="Aptos" w:hAnsi="Aptos"/>
              </w:rPr>
              <w:t xml:space="preserve">The Bill proposes to amend Section 35(1) of the ITA to bring payments of freight charges to non-resident ship owners and charterers within the ambit of WHT. </w:t>
            </w:r>
          </w:p>
          <w:p w14:paraId="1ADD32D3" w14:textId="77777777" w:rsidR="00A47F5B" w:rsidRPr="0051157C" w:rsidRDefault="00A47F5B" w:rsidP="00A47F5B">
            <w:pPr>
              <w:rPr>
                <w:rFonts w:ascii="Aptos" w:hAnsi="Aptos"/>
              </w:rPr>
            </w:pPr>
          </w:p>
          <w:p w14:paraId="32F37DDA" w14:textId="77777777" w:rsidR="00A47F5B" w:rsidRPr="0051157C" w:rsidRDefault="00A47F5B" w:rsidP="00A47F5B">
            <w:pPr>
              <w:spacing w:after="120" w:line="264" w:lineRule="auto"/>
              <w:rPr>
                <w:rFonts w:ascii="Aptos" w:eastAsia="Calibri Light" w:hAnsi="Aptos" w:cstheme="minorHAnsi"/>
                <w:b/>
                <w:bCs/>
                <w:color w:val="92D050"/>
                <w:lang w:val="en-US"/>
              </w:rPr>
            </w:pPr>
            <w:r w:rsidRPr="0051157C">
              <w:rPr>
                <w:rFonts w:ascii="Aptos" w:eastAsia="Calibri Light" w:hAnsi="Aptos" w:cstheme="minorHAnsi"/>
                <w:b/>
                <w:bCs/>
                <w:color w:val="92D050"/>
                <w:lang w:val="en-US"/>
              </w:rPr>
              <w:t>Recommendation</w:t>
            </w:r>
          </w:p>
          <w:p w14:paraId="422FECB0" w14:textId="77777777" w:rsidR="00A47F5B" w:rsidRPr="0051157C" w:rsidRDefault="00A47F5B" w:rsidP="00A47F5B">
            <w:pPr>
              <w:rPr>
                <w:rFonts w:ascii="Aptos" w:hAnsi="Aptos"/>
              </w:rPr>
            </w:pPr>
            <w:r w:rsidRPr="0051157C">
              <w:rPr>
                <w:rFonts w:ascii="Aptos" w:hAnsi="Aptos"/>
              </w:rPr>
              <w:t xml:space="preserve">We recommend retention of the self-declaration regime under which tax chargeable vide Section 9(1) of the Income Tax Act (commonly referred to as freight tax) is administered. </w:t>
            </w:r>
          </w:p>
          <w:p w14:paraId="4397E345" w14:textId="77777777" w:rsidR="00A47F5B" w:rsidRPr="0051157C" w:rsidRDefault="00A47F5B" w:rsidP="00A47F5B">
            <w:pPr>
              <w:rPr>
                <w:rFonts w:ascii="Aptos" w:hAnsi="Aptos"/>
              </w:rPr>
            </w:pPr>
          </w:p>
          <w:p w14:paraId="34F6A4E9" w14:textId="77777777" w:rsidR="00A47F5B" w:rsidRPr="0051157C" w:rsidRDefault="00A47F5B" w:rsidP="00A47F5B">
            <w:pPr>
              <w:rPr>
                <w:rFonts w:ascii="Aptos" w:hAnsi="Aptos"/>
              </w:rPr>
            </w:pPr>
            <w:r w:rsidRPr="0051157C">
              <w:rPr>
                <w:rFonts w:ascii="Aptos" w:hAnsi="Aptos"/>
              </w:rPr>
              <w:t>Further, we recommend amendment of Section 9(1) of the TPA to provide as below:</w:t>
            </w:r>
          </w:p>
          <w:p w14:paraId="75214620" w14:textId="77777777" w:rsidR="00A47F5B" w:rsidRPr="0051157C" w:rsidRDefault="00A47F5B" w:rsidP="00A47F5B">
            <w:pPr>
              <w:rPr>
                <w:rFonts w:ascii="Aptos" w:hAnsi="Aptos"/>
              </w:rPr>
            </w:pPr>
          </w:p>
          <w:p w14:paraId="188C1E68" w14:textId="77777777" w:rsidR="00A47F5B" w:rsidRPr="0051157C" w:rsidRDefault="00A47F5B" w:rsidP="00A47F5B">
            <w:pPr>
              <w:spacing w:line="276" w:lineRule="auto"/>
              <w:ind w:left="360"/>
              <w:rPr>
                <w:rFonts w:ascii="Aptos" w:hAnsi="Aptos" w:cstheme="majorHAnsi"/>
                <w:i/>
                <w:iCs/>
              </w:rPr>
            </w:pPr>
            <w:r w:rsidRPr="0051157C">
              <w:rPr>
                <w:rFonts w:ascii="Aptos" w:hAnsi="Aptos" w:cstheme="majorHAnsi"/>
                <w:i/>
                <w:iCs/>
              </w:rPr>
              <w:t>Section 9 of the Income Tax Act is amended by inserting the following new subsection immediately after subsection (1):</w:t>
            </w:r>
          </w:p>
          <w:p w14:paraId="52773B18" w14:textId="77777777" w:rsidR="00A47F5B" w:rsidRPr="0051157C" w:rsidRDefault="00A47F5B" w:rsidP="00A47F5B">
            <w:pPr>
              <w:spacing w:line="276" w:lineRule="auto"/>
              <w:ind w:left="360"/>
              <w:rPr>
                <w:rFonts w:ascii="Aptos" w:hAnsi="Aptos" w:cstheme="majorHAnsi"/>
                <w:i/>
                <w:iCs/>
              </w:rPr>
            </w:pPr>
          </w:p>
          <w:p w14:paraId="4322F437" w14:textId="77777777" w:rsidR="00A47F5B" w:rsidRPr="0051157C" w:rsidRDefault="00A47F5B" w:rsidP="00A47F5B">
            <w:pPr>
              <w:spacing w:line="276" w:lineRule="auto"/>
              <w:ind w:left="360"/>
              <w:rPr>
                <w:rFonts w:ascii="Aptos" w:hAnsi="Aptos" w:cstheme="majorHAnsi"/>
                <w:i/>
                <w:iCs/>
              </w:rPr>
            </w:pPr>
            <w:r w:rsidRPr="0051157C">
              <w:rPr>
                <w:rFonts w:ascii="Aptos" w:hAnsi="Aptos" w:cstheme="majorHAnsi"/>
                <w:i/>
                <w:iCs/>
              </w:rPr>
              <w:lastRenderedPageBreak/>
              <w:t>(1A): Tax chargeable under subsection (1) shall be payable monthly at a date not later than the twentieth day of the month succeeding that in which the income is earned.</w:t>
            </w:r>
          </w:p>
          <w:p w14:paraId="2EFFBC6C" w14:textId="77777777" w:rsidR="00A47F5B" w:rsidRPr="0051157C" w:rsidRDefault="00A47F5B" w:rsidP="00A47F5B">
            <w:pPr>
              <w:rPr>
                <w:rFonts w:ascii="Aptos" w:hAnsi="Aptos"/>
              </w:rPr>
            </w:pPr>
          </w:p>
          <w:p w14:paraId="23EC37EE" w14:textId="77777777" w:rsidR="00A47F5B" w:rsidRPr="0051157C" w:rsidRDefault="00A47F5B" w:rsidP="00A47F5B">
            <w:pPr>
              <w:rPr>
                <w:rFonts w:ascii="Aptos" w:hAnsi="Aptos"/>
              </w:rPr>
            </w:pPr>
            <w:r w:rsidRPr="0051157C">
              <w:rPr>
                <w:rFonts w:ascii="Aptos" w:hAnsi="Aptos"/>
              </w:rPr>
              <w:t>We further recommend amendment of Section 47 of the TPA to provide as below:</w:t>
            </w:r>
          </w:p>
          <w:p w14:paraId="382A5DE2" w14:textId="77777777" w:rsidR="00A47F5B" w:rsidRPr="0051157C" w:rsidRDefault="00A47F5B" w:rsidP="00A47F5B">
            <w:pPr>
              <w:pStyle w:val="ListParagraph"/>
              <w:spacing w:after="160" w:line="276" w:lineRule="auto"/>
              <w:ind w:left="360"/>
              <w:rPr>
                <w:rFonts w:ascii="Aptos" w:hAnsi="Aptos" w:cstheme="majorHAnsi"/>
                <w:i/>
                <w:iCs/>
              </w:rPr>
            </w:pPr>
          </w:p>
          <w:p w14:paraId="557A3A36" w14:textId="77777777" w:rsidR="00A47F5B" w:rsidRPr="0051157C" w:rsidRDefault="00A47F5B" w:rsidP="00A47F5B">
            <w:pPr>
              <w:pStyle w:val="ListParagraph"/>
              <w:spacing w:line="276" w:lineRule="auto"/>
              <w:ind w:left="360"/>
              <w:rPr>
                <w:rFonts w:ascii="Aptos" w:hAnsi="Aptos" w:cstheme="majorHAnsi"/>
                <w:i/>
                <w:iCs/>
              </w:rPr>
            </w:pPr>
            <w:r w:rsidRPr="0051157C">
              <w:rPr>
                <w:rFonts w:ascii="Aptos" w:hAnsi="Aptos" w:cstheme="majorHAnsi"/>
                <w:i/>
                <w:iCs/>
              </w:rPr>
              <w:t>Section 47 of the Income Tax Act is amended by inserting a proviso immediately after subsection (2):</w:t>
            </w:r>
          </w:p>
          <w:p w14:paraId="2F2F3B52" w14:textId="77777777" w:rsidR="00A47F5B" w:rsidRPr="0051157C" w:rsidRDefault="00A47F5B" w:rsidP="00A47F5B">
            <w:pPr>
              <w:pStyle w:val="ListParagraph"/>
              <w:spacing w:line="276" w:lineRule="auto"/>
              <w:ind w:left="360"/>
              <w:rPr>
                <w:rFonts w:ascii="Aptos" w:hAnsi="Aptos" w:cstheme="majorHAnsi"/>
                <w:i/>
                <w:iCs/>
              </w:rPr>
            </w:pPr>
          </w:p>
          <w:p w14:paraId="65AC84AC" w14:textId="4D18101E" w:rsidR="00A47F5B" w:rsidRPr="0051157C" w:rsidRDefault="00A47F5B" w:rsidP="00A47F5B">
            <w:pPr>
              <w:pStyle w:val="ListParagraph"/>
              <w:spacing w:line="276" w:lineRule="auto"/>
              <w:ind w:left="360"/>
              <w:rPr>
                <w:rFonts w:ascii="Aptos" w:hAnsi="Aptos" w:cstheme="majorHAnsi"/>
                <w:i/>
                <w:iCs/>
              </w:rPr>
            </w:pPr>
            <w:r w:rsidRPr="0051157C">
              <w:rPr>
                <w:rFonts w:ascii="Aptos" w:hAnsi="Aptos" w:cstheme="majorHAnsi"/>
                <w:i/>
                <w:iCs/>
              </w:rPr>
              <w:t>Provided that the owner of any ship may elect to use his shipping agent as an agent for purposes of collection and remittance of tax under Section 9(1) in place of the master of the ship. The owner of the ship shall notify the Commissioner, not later than thirty days after the appointment of his shipping agent as agent for purposes of collection and remittance of tax under Section 9(1). The notification referred to shall be made to the Commissioner in such form as the Commissioner may specify.</w:t>
            </w:r>
          </w:p>
        </w:tc>
        <w:tc>
          <w:tcPr>
            <w:tcW w:w="4334" w:type="dxa"/>
          </w:tcPr>
          <w:p w14:paraId="035DCB19" w14:textId="77777777" w:rsidR="00A47F5B" w:rsidRPr="0051157C" w:rsidRDefault="00A47F5B" w:rsidP="00A47F5B">
            <w:pPr>
              <w:rPr>
                <w:rFonts w:ascii="Aptos" w:eastAsia="Calibri Light" w:hAnsi="Aptos" w:cstheme="minorHAnsi"/>
              </w:rPr>
            </w:pPr>
            <w:r w:rsidRPr="0051157C">
              <w:rPr>
                <w:rFonts w:ascii="Aptos" w:eastAsia="Calibri Light" w:hAnsi="Aptos" w:cstheme="minorHAnsi"/>
              </w:rPr>
              <w:lastRenderedPageBreak/>
              <w:t>The retention of the self-declaration regime is anchored in the following rationale:</w:t>
            </w:r>
          </w:p>
          <w:p w14:paraId="404521C0" w14:textId="77777777" w:rsidR="00A47F5B" w:rsidRPr="0051157C" w:rsidRDefault="00A47F5B" w:rsidP="00A47F5B">
            <w:pPr>
              <w:rPr>
                <w:rFonts w:ascii="Aptos" w:eastAsia="Calibri Light" w:hAnsi="Aptos" w:cstheme="minorHAnsi"/>
              </w:rPr>
            </w:pPr>
          </w:p>
          <w:p w14:paraId="372C87E9" w14:textId="77777777" w:rsidR="00A47F5B" w:rsidRPr="0051157C" w:rsidRDefault="00A47F5B" w:rsidP="00E9775B">
            <w:pPr>
              <w:pStyle w:val="ListParagraph"/>
              <w:numPr>
                <w:ilvl w:val="0"/>
                <w:numId w:val="13"/>
              </w:numPr>
              <w:rPr>
                <w:rFonts w:ascii="Aptos" w:eastAsia="Calibri Light" w:hAnsi="Aptos" w:cstheme="minorHAnsi"/>
              </w:rPr>
            </w:pPr>
            <w:r w:rsidRPr="0051157C">
              <w:rPr>
                <w:rFonts w:ascii="Aptos" w:eastAsia="Calibri Light" w:hAnsi="Aptos" w:cstheme="minorHAnsi"/>
              </w:rPr>
              <w:t>A move to a withholding tax regime would decentralize compliance from a limited number of maritime agents to thousands of traders and individuals who ship their wares. This not only creates compliance and enforcement challenges on KRA’s part but also a high likelihood of revenue leakage;</w:t>
            </w:r>
          </w:p>
          <w:p w14:paraId="4266C239" w14:textId="77777777" w:rsidR="00A47F5B" w:rsidRPr="0051157C" w:rsidRDefault="00A47F5B" w:rsidP="00A47F5B">
            <w:pPr>
              <w:pStyle w:val="ListParagraph"/>
              <w:ind w:left="360"/>
              <w:rPr>
                <w:rFonts w:ascii="Aptos" w:eastAsia="Calibri Light" w:hAnsi="Aptos" w:cstheme="minorHAnsi"/>
              </w:rPr>
            </w:pPr>
          </w:p>
          <w:p w14:paraId="5A90CA96" w14:textId="4A7862D4" w:rsidR="00A47F5B" w:rsidRPr="00E603A1" w:rsidRDefault="00A47F5B" w:rsidP="00E9775B">
            <w:pPr>
              <w:pStyle w:val="ListParagraph"/>
              <w:numPr>
                <w:ilvl w:val="0"/>
                <w:numId w:val="14"/>
              </w:numPr>
              <w:spacing w:line="276" w:lineRule="auto"/>
              <w:contextualSpacing w:val="0"/>
              <w:rPr>
                <w:rFonts w:ascii="Aptos" w:eastAsia="Calibri Light" w:hAnsi="Aptos" w:cstheme="minorHAnsi"/>
              </w:rPr>
            </w:pPr>
            <w:r w:rsidRPr="0051157C">
              <w:rPr>
                <w:rFonts w:ascii="Aptos" w:eastAsia="Calibri Light" w:hAnsi="Aptos" w:cstheme="minorHAnsi"/>
              </w:rPr>
              <w:t xml:space="preserve">A move to a withholding tax regime creates additional internal </w:t>
            </w:r>
            <w:r w:rsidRPr="0051157C">
              <w:rPr>
                <w:rFonts w:ascii="Aptos" w:eastAsia="Calibri Light" w:hAnsi="Aptos" w:cstheme="minorHAnsi"/>
              </w:rPr>
              <w:lastRenderedPageBreak/>
              <w:t xml:space="preserve">administrative challenges and costs on the part of shipping lines and their agents. For instance, not all persons shipping cargo out of Kenya would necessarily understand the administration of withholding tax upon payment. This </w:t>
            </w:r>
            <w:r w:rsidRPr="00E603A1">
              <w:rPr>
                <w:rFonts w:ascii="Aptos" w:eastAsia="Calibri Light" w:hAnsi="Aptos" w:cstheme="minorHAnsi"/>
              </w:rPr>
              <w:t xml:space="preserve">would not only necessitate maintenance regular reconciliations for taxpayers but could also pose negative cashflow implications. </w:t>
            </w:r>
          </w:p>
          <w:p w14:paraId="7FB8B521" w14:textId="77777777" w:rsidR="00A47F5B" w:rsidRPr="0051157C" w:rsidRDefault="00A47F5B" w:rsidP="00A47F5B">
            <w:pPr>
              <w:pStyle w:val="ListParagraph"/>
              <w:spacing w:line="276" w:lineRule="auto"/>
              <w:ind w:left="360"/>
              <w:contextualSpacing w:val="0"/>
              <w:rPr>
                <w:rFonts w:ascii="Aptos" w:eastAsia="Calibri Light" w:hAnsi="Aptos" w:cstheme="minorHAnsi"/>
              </w:rPr>
            </w:pPr>
          </w:p>
          <w:p w14:paraId="6C09AE9E" w14:textId="77777777" w:rsidR="00A47F5B" w:rsidRPr="0051157C" w:rsidRDefault="00A47F5B" w:rsidP="00A47F5B">
            <w:pPr>
              <w:rPr>
                <w:rFonts w:ascii="Aptos" w:eastAsia="Calibri Light" w:hAnsi="Aptos" w:cstheme="minorHAnsi"/>
              </w:rPr>
            </w:pPr>
            <w:r w:rsidRPr="0051157C">
              <w:rPr>
                <w:rFonts w:ascii="Aptos" w:eastAsia="Calibri Light" w:hAnsi="Aptos" w:cstheme="minorHAnsi"/>
              </w:rPr>
              <w:t>The new proposed amendments, on the other hand, create a legal framework for the administration of freight tax under a self-declaration regime. It eases compliance requirements for exporters and safeguards government revenue by ensuring maritime agents can effectively collect and remit freight tax.</w:t>
            </w:r>
          </w:p>
          <w:p w14:paraId="266AA14A" w14:textId="77777777" w:rsidR="00A47F5B" w:rsidRPr="0051157C" w:rsidRDefault="00A47F5B" w:rsidP="00A47F5B">
            <w:pPr>
              <w:jc w:val="both"/>
              <w:rPr>
                <w:rFonts w:ascii="Aptos" w:hAnsi="Aptos" w:cstheme="majorHAnsi"/>
                <w:bCs/>
              </w:rPr>
            </w:pPr>
          </w:p>
        </w:tc>
      </w:tr>
      <w:tr w:rsidR="00A47F5B" w:rsidRPr="0051157C" w14:paraId="5E1E080E" w14:textId="77777777" w:rsidTr="008D4372">
        <w:tc>
          <w:tcPr>
            <w:tcW w:w="14454" w:type="dxa"/>
            <w:gridSpan w:val="4"/>
          </w:tcPr>
          <w:p w14:paraId="36971C1B" w14:textId="5FB546DF" w:rsidR="00A47F5B" w:rsidRPr="00411364" w:rsidRDefault="00A47F5B" w:rsidP="00E9775B">
            <w:pPr>
              <w:pStyle w:val="ListParagraph"/>
              <w:numPr>
                <w:ilvl w:val="0"/>
                <w:numId w:val="2"/>
              </w:numPr>
              <w:jc w:val="center"/>
              <w:rPr>
                <w:rFonts w:ascii="Aptos" w:eastAsia="Calibri Light" w:hAnsi="Aptos" w:cstheme="minorHAnsi"/>
                <w:color w:val="000000" w:themeColor="text1"/>
                <w:lang w:val="en-US"/>
              </w:rPr>
            </w:pPr>
            <w:r w:rsidRPr="00411364">
              <w:rPr>
                <w:rFonts w:ascii="Aptos" w:hAnsi="Aptos"/>
                <w:b/>
                <w:bCs/>
              </w:rPr>
              <w:lastRenderedPageBreak/>
              <w:t>Capital gains tax</w:t>
            </w:r>
          </w:p>
        </w:tc>
      </w:tr>
      <w:tr w:rsidR="00A47F5B" w:rsidRPr="0051157C" w14:paraId="27260C4B" w14:textId="77777777" w:rsidTr="009A3429">
        <w:tc>
          <w:tcPr>
            <w:tcW w:w="535" w:type="dxa"/>
          </w:tcPr>
          <w:p w14:paraId="2DB8E32C" w14:textId="764B1C92" w:rsidR="00A47F5B" w:rsidRPr="0051157C" w:rsidRDefault="00A47F5B" w:rsidP="00A47F5B">
            <w:pPr>
              <w:jc w:val="both"/>
              <w:rPr>
                <w:rFonts w:ascii="Aptos" w:hAnsi="Aptos" w:cstheme="minorHAnsi"/>
                <w:b/>
              </w:rPr>
            </w:pPr>
            <w:r>
              <w:rPr>
                <w:rFonts w:ascii="Aptos" w:hAnsi="Aptos" w:cstheme="minorHAnsi"/>
                <w:b/>
              </w:rPr>
              <w:t>1.</w:t>
            </w:r>
          </w:p>
        </w:tc>
        <w:tc>
          <w:tcPr>
            <w:tcW w:w="1949" w:type="dxa"/>
          </w:tcPr>
          <w:p w14:paraId="047A5BDE" w14:textId="77777777" w:rsidR="00A47F5B" w:rsidRPr="0051157C" w:rsidRDefault="00A47F5B" w:rsidP="00A47F5B">
            <w:pPr>
              <w:rPr>
                <w:rFonts w:ascii="Aptos" w:hAnsi="Aptos"/>
                <w:b/>
                <w:bCs/>
              </w:rPr>
            </w:pPr>
            <w:r w:rsidRPr="0051157C">
              <w:rPr>
                <w:rFonts w:ascii="Aptos" w:hAnsi="Aptos"/>
                <w:b/>
                <w:bCs/>
              </w:rPr>
              <w:t>Clause 8 (b) (ii)</w:t>
            </w:r>
          </w:p>
          <w:p w14:paraId="65231715" w14:textId="77777777" w:rsidR="00A47F5B" w:rsidRPr="0051157C" w:rsidRDefault="00A47F5B" w:rsidP="00A47F5B">
            <w:pPr>
              <w:rPr>
                <w:rFonts w:ascii="Aptos" w:hAnsi="Aptos"/>
                <w:b/>
                <w:bCs/>
              </w:rPr>
            </w:pPr>
          </w:p>
          <w:p w14:paraId="0E396CC1" w14:textId="77777777" w:rsidR="00A47F5B" w:rsidRPr="0051157C" w:rsidRDefault="00A47F5B" w:rsidP="00A47F5B">
            <w:pPr>
              <w:rPr>
                <w:rFonts w:ascii="Aptos" w:hAnsi="Aptos"/>
                <w:b/>
                <w:bCs/>
              </w:rPr>
            </w:pPr>
            <w:r w:rsidRPr="0051157C">
              <w:rPr>
                <w:rFonts w:ascii="Aptos" w:hAnsi="Aptos"/>
                <w:b/>
                <w:bCs/>
              </w:rPr>
              <w:t xml:space="preserve">Limitation on the deductibility of capital losses arising from the disposal of </w:t>
            </w:r>
            <w:r w:rsidRPr="0051157C">
              <w:rPr>
                <w:rFonts w:ascii="Aptos" w:hAnsi="Aptos"/>
                <w:b/>
                <w:bCs/>
              </w:rPr>
              <w:lastRenderedPageBreak/>
              <w:t>assets subject to capital gains tax (“CGT”)</w:t>
            </w:r>
          </w:p>
          <w:p w14:paraId="28EFED78" w14:textId="77777777" w:rsidR="00A47F5B" w:rsidRPr="0051157C" w:rsidRDefault="00A47F5B" w:rsidP="00A47F5B">
            <w:pPr>
              <w:rPr>
                <w:rFonts w:ascii="Aptos" w:hAnsi="Aptos"/>
                <w:b/>
                <w:bCs/>
              </w:rPr>
            </w:pPr>
          </w:p>
        </w:tc>
        <w:tc>
          <w:tcPr>
            <w:tcW w:w="7636" w:type="dxa"/>
          </w:tcPr>
          <w:p w14:paraId="4C0DDFB6" w14:textId="77777777" w:rsidR="00A47F5B" w:rsidRPr="0051157C" w:rsidRDefault="00A47F5B" w:rsidP="00A47F5B">
            <w:pPr>
              <w:spacing w:after="120" w:line="264" w:lineRule="auto"/>
              <w:rPr>
                <w:rFonts w:ascii="Aptos" w:hAnsi="Aptos"/>
              </w:rPr>
            </w:pPr>
            <w:r w:rsidRPr="0051157C">
              <w:rPr>
                <w:rFonts w:ascii="Aptos" w:hAnsi="Aptos"/>
              </w:rPr>
              <w:lastRenderedPageBreak/>
              <w:t>The Bill proposes to delete Section 15(3)(f) of the ITA, which currently allows transferors to deduct any capital losses arising from the disposal of assets subject to CGT under the Eighth Schedule to the ITA.</w:t>
            </w:r>
          </w:p>
          <w:p w14:paraId="4B4C1A6A" w14:textId="77777777" w:rsidR="00A47F5B" w:rsidRPr="0051157C" w:rsidRDefault="00A47F5B" w:rsidP="00A47F5B">
            <w:pPr>
              <w:spacing w:after="120" w:line="264" w:lineRule="auto"/>
              <w:rPr>
                <w:rFonts w:ascii="Aptos" w:eastAsia="Calibri Light" w:hAnsi="Aptos" w:cstheme="minorHAnsi"/>
                <w:lang w:val="en-US"/>
              </w:rPr>
            </w:pPr>
            <w:r w:rsidRPr="0051157C">
              <w:rPr>
                <w:rFonts w:ascii="Aptos" w:eastAsia="Calibri Light" w:hAnsi="Aptos" w:cstheme="minorHAnsi"/>
                <w:lang w:val="en-US"/>
              </w:rPr>
              <w:t xml:space="preserve">We note that section15 (3)(f) of the ITA was ineffective since it was referring to paragraph 5(2) of the Eighth Schedule which does not deal with computation </w:t>
            </w:r>
            <w:r w:rsidRPr="0051157C">
              <w:rPr>
                <w:rFonts w:ascii="Aptos" w:eastAsia="Calibri Light" w:hAnsi="Aptos" w:cstheme="minorHAnsi"/>
                <w:lang w:val="en-US"/>
              </w:rPr>
              <w:lastRenderedPageBreak/>
              <w:t>of gains rather it provides for “dealings by nominees, trustees and liquidators and for the enforcement of securities.”</w:t>
            </w:r>
          </w:p>
          <w:p w14:paraId="419E316B" w14:textId="77777777" w:rsidR="00A47F5B" w:rsidRPr="0051157C" w:rsidRDefault="00A47F5B" w:rsidP="00A47F5B">
            <w:pPr>
              <w:spacing w:after="120" w:line="264" w:lineRule="auto"/>
              <w:rPr>
                <w:rFonts w:ascii="Aptos" w:eastAsia="Calibri Light" w:hAnsi="Aptos" w:cstheme="minorHAnsi"/>
                <w:b/>
                <w:bCs/>
                <w:color w:val="92D050"/>
                <w:lang w:val="en-US"/>
              </w:rPr>
            </w:pPr>
            <w:r w:rsidRPr="0051157C">
              <w:rPr>
                <w:rFonts w:ascii="Aptos" w:eastAsia="Calibri Light" w:hAnsi="Aptos" w:cstheme="minorHAnsi"/>
                <w:b/>
                <w:bCs/>
                <w:color w:val="92D050"/>
                <w:lang w:val="en-US"/>
              </w:rPr>
              <w:t>Recommendation</w:t>
            </w:r>
          </w:p>
          <w:p w14:paraId="6CDAB8B3" w14:textId="77777777" w:rsidR="00A47F5B" w:rsidRPr="0051157C" w:rsidRDefault="00A47F5B" w:rsidP="00A47F5B">
            <w:pPr>
              <w:spacing w:after="120" w:line="264" w:lineRule="auto"/>
              <w:rPr>
                <w:rFonts w:ascii="Aptos" w:eastAsia="Calibri Light" w:hAnsi="Aptos" w:cstheme="minorHAnsi"/>
                <w:i/>
                <w:iCs/>
                <w:lang w:val="en-US"/>
              </w:rPr>
            </w:pPr>
            <w:r w:rsidRPr="0051157C">
              <w:rPr>
                <w:rFonts w:ascii="Aptos" w:eastAsia="Calibri Light" w:hAnsi="Aptos" w:cstheme="minorHAnsi"/>
                <w:i/>
                <w:iCs/>
                <w:lang w:val="en-US"/>
              </w:rPr>
              <w:t>We recommend that instead of deleting the entire section 15(3)(f), the same should be amended to make reference to the correct paragraph in the Eighth Schedule to read as follows: -</w:t>
            </w:r>
          </w:p>
          <w:p w14:paraId="1DEC9B46" w14:textId="77777777" w:rsidR="00A47F5B" w:rsidRDefault="00A47F5B" w:rsidP="00A47F5B">
            <w:pPr>
              <w:spacing w:line="254" w:lineRule="auto"/>
              <w:rPr>
                <w:rFonts w:ascii="Aptos" w:hAnsi="Aptos" w:cs="PTSerif-Regular"/>
                <w:b/>
                <w:bCs/>
                <w:i/>
                <w:iCs/>
              </w:rPr>
            </w:pPr>
            <w:r w:rsidRPr="0051157C">
              <w:rPr>
                <w:rFonts w:ascii="Aptos" w:hAnsi="Aptos" w:cs="PTSerif-Regular"/>
                <w:b/>
                <w:bCs/>
                <w:i/>
                <w:iCs/>
              </w:rPr>
              <w:t>“..the amount of any loss realized in computing, in accordance with paragraph 4(3), of the Eighth Schedule, gains chargeable to tax under section 3(2)(f); but the amount of any such loss incurred in a year of income shall be deducted only from gains under section 3(2)(f) in that year of income and, in so far as it has not already been deducted, from gains in subsequent years of income.”</w:t>
            </w:r>
          </w:p>
          <w:p w14:paraId="1775F04F" w14:textId="77777777" w:rsidR="00A47F5B" w:rsidRPr="0051157C" w:rsidRDefault="00A47F5B" w:rsidP="00A47F5B">
            <w:pPr>
              <w:rPr>
                <w:rFonts w:ascii="Aptos" w:hAnsi="Aptos"/>
              </w:rPr>
            </w:pPr>
          </w:p>
        </w:tc>
        <w:tc>
          <w:tcPr>
            <w:tcW w:w="4334" w:type="dxa"/>
          </w:tcPr>
          <w:p w14:paraId="2290C6C4" w14:textId="190D83CE" w:rsidR="00A47F5B" w:rsidRPr="0051157C" w:rsidRDefault="00A47F5B" w:rsidP="00A47F5B">
            <w:pPr>
              <w:rPr>
                <w:rFonts w:ascii="Aptos" w:eastAsia="Calibri Light" w:hAnsi="Aptos" w:cstheme="minorHAnsi"/>
              </w:rPr>
            </w:pPr>
            <w:r w:rsidRPr="0051157C">
              <w:rPr>
                <w:rFonts w:ascii="Aptos" w:eastAsia="Calibri Light" w:hAnsi="Aptos" w:cstheme="minorHAnsi"/>
                <w:color w:val="000000" w:themeColor="text1"/>
                <w:lang w:val="en-US"/>
              </w:rPr>
              <w:lastRenderedPageBreak/>
              <w:t xml:space="preserve">We are of the view that deletion of this section would </w:t>
            </w:r>
            <w:r w:rsidRPr="0051157C">
              <w:rPr>
                <w:rFonts w:ascii="Aptos" w:hAnsi="Aptos"/>
              </w:rPr>
              <w:t>mean that capital losses are no longer deductible against future capital gain</w:t>
            </w:r>
            <w:r>
              <w:rPr>
                <w:rFonts w:ascii="Aptos" w:hAnsi="Aptos"/>
              </w:rPr>
              <w:t>s</w:t>
            </w:r>
            <w:r w:rsidRPr="0051157C">
              <w:rPr>
                <w:rFonts w:ascii="Aptos" w:hAnsi="Aptos"/>
              </w:rPr>
              <w:t xml:space="preserve"> which </w:t>
            </w:r>
            <w:r>
              <w:rPr>
                <w:rFonts w:ascii="Aptos" w:hAnsi="Aptos"/>
              </w:rPr>
              <w:t xml:space="preserve">would </w:t>
            </w:r>
            <w:r w:rsidRPr="0051157C">
              <w:rPr>
                <w:rFonts w:ascii="Aptos" w:hAnsi="Aptos"/>
              </w:rPr>
              <w:t>adversely affect taxpayers and in turn violate the canon of taxation on fairness.</w:t>
            </w:r>
          </w:p>
        </w:tc>
      </w:tr>
      <w:tr w:rsidR="00A47F5B" w:rsidRPr="0051157C" w14:paraId="0C610B5D" w14:textId="77777777" w:rsidTr="00510E83">
        <w:tc>
          <w:tcPr>
            <w:tcW w:w="14454" w:type="dxa"/>
            <w:gridSpan w:val="4"/>
          </w:tcPr>
          <w:p w14:paraId="33F9ACA5" w14:textId="5D9688CC" w:rsidR="00A47F5B" w:rsidRPr="0051157C" w:rsidRDefault="00A47F5B" w:rsidP="00E9775B">
            <w:pPr>
              <w:pStyle w:val="ListParagraph"/>
              <w:numPr>
                <w:ilvl w:val="0"/>
                <w:numId w:val="2"/>
              </w:numPr>
              <w:jc w:val="center"/>
              <w:rPr>
                <w:rFonts w:ascii="Aptos" w:hAnsi="Aptos" w:cstheme="majorHAnsi"/>
                <w:bCs/>
              </w:rPr>
            </w:pPr>
            <w:r w:rsidRPr="0051157C">
              <w:rPr>
                <w:rFonts w:ascii="Aptos" w:hAnsi="Aptos" w:cstheme="minorHAnsi"/>
                <w:b/>
              </w:rPr>
              <w:t>Value Added Tax</w:t>
            </w:r>
          </w:p>
        </w:tc>
      </w:tr>
      <w:tr w:rsidR="00A47F5B" w:rsidRPr="0051157C" w14:paraId="6B786648" w14:textId="77777777" w:rsidTr="009A3429">
        <w:tc>
          <w:tcPr>
            <w:tcW w:w="535" w:type="dxa"/>
          </w:tcPr>
          <w:p w14:paraId="771910A0" w14:textId="642D7737" w:rsidR="00A47F5B" w:rsidRPr="0051157C" w:rsidRDefault="00A47F5B" w:rsidP="00A47F5B">
            <w:pPr>
              <w:jc w:val="both"/>
              <w:rPr>
                <w:rFonts w:ascii="Aptos" w:hAnsi="Aptos" w:cstheme="minorHAnsi"/>
                <w:b/>
              </w:rPr>
            </w:pPr>
            <w:r w:rsidRPr="0051157C">
              <w:rPr>
                <w:rFonts w:ascii="Aptos" w:hAnsi="Aptos" w:cstheme="minorHAnsi"/>
                <w:b/>
              </w:rPr>
              <w:t>1.</w:t>
            </w:r>
          </w:p>
        </w:tc>
        <w:tc>
          <w:tcPr>
            <w:tcW w:w="1949" w:type="dxa"/>
          </w:tcPr>
          <w:p w14:paraId="266C871F" w14:textId="64AA37D0" w:rsidR="00A47F5B" w:rsidRPr="00C652ED" w:rsidRDefault="00A47F5B" w:rsidP="00A47F5B">
            <w:pPr>
              <w:jc w:val="both"/>
              <w:rPr>
                <w:rFonts w:ascii="Aptos" w:hAnsi="Aptos" w:cstheme="minorHAnsi"/>
                <w:b/>
              </w:rPr>
            </w:pPr>
            <w:r w:rsidRPr="0051157C">
              <w:rPr>
                <w:rFonts w:ascii="Aptos" w:hAnsi="Aptos" w:cstheme="minorHAnsi"/>
                <w:b/>
              </w:rPr>
              <w:t>Clause</w:t>
            </w:r>
            <w:r w:rsidRPr="00C652ED">
              <w:rPr>
                <w:rFonts w:ascii="Aptos" w:hAnsi="Aptos" w:cstheme="minorHAnsi"/>
                <w:b/>
              </w:rPr>
              <w:t xml:space="preserve"> 32 (a) </w:t>
            </w:r>
          </w:p>
          <w:p w14:paraId="2C888635" w14:textId="77777777" w:rsidR="00A47F5B" w:rsidRPr="00C652ED" w:rsidRDefault="00A47F5B" w:rsidP="00A47F5B">
            <w:pPr>
              <w:jc w:val="both"/>
              <w:rPr>
                <w:rFonts w:ascii="Aptos" w:hAnsi="Aptos" w:cstheme="minorHAnsi"/>
                <w:b/>
              </w:rPr>
            </w:pPr>
          </w:p>
          <w:p w14:paraId="179FD173" w14:textId="0C915FD8" w:rsidR="00A47F5B" w:rsidRPr="0051157C" w:rsidRDefault="00A47F5B" w:rsidP="00A47F5B">
            <w:pPr>
              <w:jc w:val="both"/>
              <w:rPr>
                <w:rFonts w:ascii="Aptos" w:hAnsi="Aptos" w:cstheme="minorHAnsi"/>
                <w:b/>
              </w:rPr>
            </w:pPr>
            <w:r w:rsidRPr="0051157C">
              <w:rPr>
                <w:rFonts w:ascii="Aptos" w:hAnsi="Aptos" w:cstheme="minorHAnsi"/>
                <w:b/>
              </w:rPr>
              <w:t>Application of excess VAT credits arising from tax withheld by appointed withholding VAT agents</w:t>
            </w:r>
          </w:p>
        </w:tc>
        <w:tc>
          <w:tcPr>
            <w:tcW w:w="7636" w:type="dxa"/>
          </w:tcPr>
          <w:p w14:paraId="044F9B2E" w14:textId="5A8C7453" w:rsidR="00A47F5B" w:rsidRPr="000A79FB" w:rsidRDefault="00A47F5B" w:rsidP="00A47F5B">
            <w:pPr>
              <w:jc w:val="both"/>
              <w:rPr>
                <w:rFonts w:ascii="Aptos" w:hAnsi="Aptos" w:cstheme="majorHAnsi"/>
                <w:bCs/>
              </w:rPr>
            </w:pPr>
            <w:r w:rsidRPr="000A79FB">
              <w:rPr>
                <w:rFonts w:ascii="Aptos" w:hAnsi="Aptos" w:cstheme="majorHAnsi"/>
                <w:bCs/>
              </w:rPr>
              <w:t xml:space="preserve">The Bill proposes to amend Section 17(5) </w:t>
            </w:r>
            <w:r w:rsidRPr="0051157C">
              <w:rPr>
                <w:rFonts w:ascii="Aptos" w:hAnsi="Aptos" w:cstheme="majorHAnsi"/>
                <w:bCs/>
              </w:rPr>
              <w:t xml:space="preserve">of the VAT Act </w:t>
            </w:r>
            <w:r w:rsidRPr="000A79FB">
              <w:rPr>
                <w:rFonts w:ascii="Aptos" w:hAnsi="Aptos" w:cstheme="majorHAnsi"/>
                <w:bCs/>
              </w:rPr>
              <w:t>by deleting paragraph (c) which allows taxpayers to offset excess withholding VAT credits against other tax liabilities.</w:t>
            </w:r>
          </w:p>
          <w:p w14:paraId="7D00DCD8" w14:textId="77777777" w:rsidR="00A47F5B" w:rsidRPr="000A79FB" w:rsidRDefault="00A47F5B" w:rsidP="00A47F5B">
            <w:pPr>
              <w:jc w:val="both"/>
              <w:rPr>
                <w:rFonts w:ascii="Aptos" w:hAnsi="Aptos" w:cstheme="majorHAnsi"/>
                <w:bCs/>
              </w:rPr>
            </w:pPr>
          </w:p>
          <w:p w14:paraId="3DB4A157" w14:textId="7D277129" w:rsidR="00A47F5B" w:rsidRPr="0051157C" w:rsidRDefault="00A47F5B" w:rsidP="00A47F5B">
            <w:pPr>
              <w:jc w:val="both"/>
              <w:rPr>
                <w:rFonts w:ascii="Aptos" w:hAnsi="Aptos" w:cstheme="majorHAnsi"/>
                <w:bCs/>
              </w:rPr>
            </w:pPr>
            <w:r w:rsidRPr="0051157C">
              <w:rPr>
                <w:rFonts w:ascii="Aptos" w:hAnsi="Aptos" w:cstheme="majorHAnsi"/>
                <w:bCs/>
                <w:i/>
                <w:iCs/>
              </w:rPr>
              <w:t>“(c) such excess arising out of tax withheld by appointed tax withholding agents may be applied against any tax payable under this Act or any other written law or is due for refund pursuant to section 47(4) of the Tax Procedures”</w:t>
            </w:r>
            <w:r w:rsidRPr="0051157C">
              <w:rPr>
                <w:rFonts w:ascii="Aptos" w:hAnsi="Aptos" w:cstheme="majorHAnsi"/>
                <w:bCs/>
              </w:rPr>
              <w:t>.</w:t>
            </w:r>
          </w:p>
          <w:p w14:paraId="37936AD6" w14:textId="77777777" w:rsidR="00A47F5B" w:rsidRPr="0051157C" w:rsidRDefault="00A47F5B" w:rsidP="00A47F5B">
            <w:pPr>
              <w:jc w:val="both"/>
              <w:rPr>
                <w:rFonts w:ascii="Aptos" w:hAnsi="Aptos" w:cstheme="majorHAnsi"/>
                <w:bCs/>
              </w:rPr>
            </w:pPr>
          </w:p>
          <w:p w14:paraId="6932DE0D" w14:textId="3687C4B2" w:rsidR="00A47F5B" w:rsidRPr="0051157C" w:rsidRDefault="00A47F5B" w:rsidP="00A47F5B">
            <w:pPr>
              <w:jc w:val="both"/>
              <w:rPr>
                <w:rFonts w:ascii="Aptos" w:hAnsi="Aptos" w:cstheme="majorHAnsi"/>
                <w:bCs/>
              </w:rPr>
            </w:pPr>
            <w:r w:rsidRPr="0051157C">
              <w:rPr>
                <w:rFonts w:ascii="Aptos" w:hAnsi="Aptos" w:cstheme="majorHAnsi"/>
                <w:bCs/>
              </w:rPr>
              <w:t xml:space="preserve">We recommend </w:t>
            </w:r>
            <w:r>
              <w:rPr>
                <w:rFonts w:ascii="Aptos" w:hAnsi="Aptos" w:cstheme="majorHAnsi"/>
                <w:bCs/>
              </w:rPr>
              <w:t xml:space="preserve">that this proposal be shelved and </w:t>
            </w:r>
            <w:r w:rsidRPr="0051157C">
              <w:rPr>
                <w:rFonts w:ascii="Aptos" w:hAnsi="Aptos" w:cstheme="majorHAnsi"/>
                <w:bCs/>
              </w:rPr>
              <w:t>the retention of Section 17(5)(c) as presently drafted.</w:t>
            </w:r>
          </w:p>
        </w:tc>
        <w:tc>
          <w:tcPr>
            <w:tcW w:w="4334" w:type="dxa"/>
          </w:tcPr>
          <w:p w14:paraId="7A951951" w14:textId="77777777" w:rsidR="00A47F5B" w:rsidRPr="0051157C" w:rsidRDefault="00A47F5B" w:rsidP="00A47F5B">
            <w:pPr>
              <w:rPr>
                <w:rFonts w:ascii="Aptos" w:hAnsi="Aptos" w:cs="Calibri Light"/>
              </w:rPr>
            </w:pPr>
            <w:r w:rsidRPr="0051157C">
              <w:rPr>
                <w:rFonts w:ascii="Aptos" w:hAnsi="Aptos" w:cs="Calibri Light"/>
              </w:rPr>
              <w:t xml:space="preserve">The proposed change implies that taxpayers who do not apply for a refund of excess withholding VAT credits will only be able to utilise the credits against future VAT liabilities. </w:t>
            </w:r>
          </w:p>
          <w:p w14:paraId="44F93B53" w14:textId="77777777" w:rsidR="00A47F5B" w:rsidRPr="0051157C" w:rsidRDefault="00A47F5B" w:rsidP="00A47F5B">
            <w:pPr>
              <w:rPr>
                <w:rFonts w:ascii="Aptos" w:hAnsi="Aptos" w:cs="Calibri Light"/>
              </w:rPr>
            </w:pPr>
          </w:p>
          <w:p w14:paraId="2865C595" w14:textId="77777777" w:rsidR="00A47F5B" w:rsidRPr="0051157C" w:rsidRDefault="00A47F5B" w:rsidP="00A47F5B">
            <w:pPr>
              <w:rPr>
                <w:rFonts w:ascii="Aptos" w:hAnsi="Aptos" w:cs="Calibri Light"/>
              </w:rPr>
            </w:pPr>
            <w:r w:rsidRPr="0051157C">
              <w:rPr>
                <w:rFonts w:ascii="Aptos" w:hAnsi="Aptos" w:cs="Calibri Light"/>
              </w:rPr>
              <w:t>Taxpayers will not be able to automatically apply the excess withholding VAT credits against any other tax payable other than VAT, unless they apply to the Commissioner to offset the overpaid tax against the taxpayer's outstanding tax debts and future tax liabilities or for a refund under Section 47 of the TPA.</w:t>
            </w:r>
          </w:p>
          <w:p w14:paraId="6359A437" w14:textId="77777777" w:rsidR="00A47F5B" w:rsidRPr="0051157C" w:rsidRDefault="00A47F5B" w:rsidP="00A47F5B">
            <w:pPr>
              <w:rPr>
                <w:rFonts w:ascii="Aptos" w:hAnsi="Aptos" w:cs="Calibri Light"/>
              </w:rPr>
            </w:pPr>
          </w:p>
          <w:p w14:paraId="0FC48619" w14:textId="77777777" w:rsidR="00A47F5B" w:rsidRDefault="00A47F5B" w:rsidP="00A47F5B">
            <w:pPr>
              <w:jc w:val="both"/>
              <w:rPr>
                <w:rFonts w:ascii="Aptos" w:hAnsi="Aptos" w:cs="Calibri Light"/>
              </w:rPr>
            </w:pPr>
            <w:r w:rsidRPr="0051157C">
              <w:rPr>
                <w:rFonts w:ascii="Aptos" w:hAnsi="Aptos" w:cs="Calibri Light"/>
              </w:rPr>
              <w:lastRenderedPageBreak/>
              <w:t>Some taxpayers may be in a perpetual credit position without the option of offsetting the withholding VAT credits against other tax liabilities.</w:t>
            </w:r>
          </w:p>
          <w:p w14:paraId="5F7D782E" w14:textId="00FDCFF0" w:rsidR="00A47F5B" w:rsidRPr="0051157C" w:rsidRDefault="00A47F5B" w:rsidP="00A47F5B">
            <w:pPr>
              <w:jc w:val="both"/>
              <w:rPr>
                <w:rFonts w:ascii="Aptos" w:hAnsi="Aptos" w:cstheme="majorHAnsi"/>
                <w:bCs/>
              </w:rPr>
            </w:pPr>
          </w:p>
        </w:tc>
      </w:tr>
      <w:tr w:rsidR="00A47F5B" w:rsidRPr="0051157C" w14:paraId="5E535EF7" w14:textId="77777777" w:rsidTr="009A3429">
        <w:tc>
          <w:tcPr>
            <w:tcW w:w="535" w:type="dxa"/>
          </w:tcPr>
          <w:p w14:paraId="09D8D153" w14:textId="0D22CA91" w:rsidR="00A47F5B" w:rsidRPr="0051157C" w:rsidRDefault="00A47F5B" w:rsidP="00A47F5B">
            <w:pPr>
              <w:jc w:val="both"/>
              <w:rPr>
                <w:rFonts w:ascii="Aptos" w:hAnsi="Aptos" w:cstheme="minorHAnsi"/>
                <w:b/>
              </w:rPr>
            </w:pPr>
            <w:r w:rsidRPr="0051157C">
              <w:rPr>
                <w:rFonts w:ascii="Aptos" w:hAnsi="Aptos" w:cstheme="minorHAnsi"/>
                <w:b/>
              </w:rPr>
              <w:lastRenderedPageBreak/>
              <w:t>2.</w:t>
            </w:r>
          </w:p>
        </w:tc>
        <w:tc>
          <w:tcPr>
            <w:tcW w:w="1949" w:type="dxa"/>
          </w:tcPr>
          <w:p w14:paraId="5EBBD13F" w14:textId="5788FC21" w:rsidR="00A47F5B" w:rsidRPr="0051157C" w:rsidRDefault="00A47F5B" w:rsidP="00A47F5B">
            <w:pPr>
              <w:spacing w:line="240" w:lineRule="exact"/>
              <w:rPr>
                <w:rFonts w:ascii="Aptos" w:hAnsi="Aptos" w:cs="Calibri Light"/>
                <w:b/>
                <w:bCs/>
              </w:rPr>
            </w:pPr>
            <w:r w:rsidRPr="0051157C">
              <w:rPr>
                <w:rFonts w:ascii="Aptos" w:hAnsi="Aptos" w:cs="Calibri Light"/>
                <w:b/>
                <w:bCs/>
              </w:rPr>
              <w:t xml:space="preserve">Clause 32 (b) </w:t>
            </w:r>
          </w:p>
          <w:p w14:paraId="66574BF4" w14:textId="77777777" w:rsidR="00A47F5B" w:rsidRPr="0051157C" w:rsidRDefault="00A47F5B" w:rsidP="00A47F5B">
            <w:pPr>
              <w:spacing w:line="240" w:lineRule="exact"/>
              <w:rPr>
                <w:rFonts w:ascii="Aptos" w:hAnsi="Aptos" w:cs="Calibri Light"/>
                <w:b/>
                <w:bCs/>
              </w:rPr>
            </w:pPr>
          </w:p>
          <w:p w14:paraId="774ABB92" w14:textId="2CDCFF61" w:rsidR="00A47F5B" w:rsidRPr="0051157C" w:rsidRDefault="00A47F5B" w:rsidP="00A47F5B">
            <w:pPr>
              <w:jc w:val="both"/>
              <w:rPr>
                <w:rFonts w:ascii="Aptos" w:hAnsi="Aptos" w:cs="Calibri Light"/>
                <w:b/>
                <w:bCs/>
              </w:rPr>
            </w:pPr>
            <w:r w:rsidRPr="0051157C">
              <w:rPr>
                <w:rFonts w:ascii="Aptos" w:hAnsi="Aptos" w:cs="Calibri Light"/>
                <w:b/>
                <w:bCs/>
              </w:rPr>
              <w:t>Time for appl</w:t>
            </w:r>
            <w:r>
              <w:rPr>
                <w:rFonts w:ascii="Aptos" w:hAnsi="Aptos" w:cs="Calibri Light"/>
                <w:b/>
                <w:bCs/>
              </w:rPr>
              <w:t>ication</w:t>
            </w:r>
            <w:r w:rsidRPr="0051157C">
              <w:rPr>
                <w:rFonts w:ascii="Aptos" w:hAnsi="Aptos" w:cs="Calibri Light"/>
                <w:b/>
                <w:bCs/>
              </w:rPr>
              <w:t xml:space="preserve"> for VAT refund</w:t>
            </w:r>
            <w:r w:rsidRPr="0051157C" w:rsidDel="007B71A9">
              <w:rPr>
                <w:rFonts w:ascii="Aptos" w:hAnsi="Aptos" w:cs="Calibri Light"/>
                <w:b/>
                <w:bCs/>
              </w:rPr>
              <w:t xml:space="preserve"> </w:t>
            </w:r>
          </w:p>
          <w:p w14:paraId="5DE31F76" w14:textId="3E09C953" w:rsidR="00A47F5B" w:rsidRPr="0051157C" w:rsidRDefault="00A47F5B" w:rsidP="00A47F5B">
            <w:pPr>
              <w:jc w:val="both"/>
              <w:rPr>
                <w:rFonts w:ascii="Aptos" w:hAnsi="Aptos" w:cstheme="minorHAnsi"/>
                <w:b/>
                <w:bCs/>
              </w:rPr>
            </w:pPr>
          </w:p>
        </w:tc>
        <w:tc>
          <w:tcPr>
            <w:tcW w:w="7636" w:type="dxa"/>
          </w:tcPr>
          <w:p w14:paraId="1B62D03C" w14:textId="77777777" w:rsidR="00A47F5B" w:rsidRPr="0051157C" w:rsidRDefault="00A47F5B" w:rsidP="00A47F5B">
            <w:pPr>
              <w:spacing w:line="240" w:lineRule="exact"/>
              <w:rPr>
                <w:rFonts w:ascii="Aptos" w:hAnsi="Aptos" w:cs="Calibri Light"/>
              </w:rPr>
            </w:pPr>
            <w:r w:rsidRPr="0051157C">
              <w:rPr>
                <w:rFonts w:ascii="Aptos" w:hAnsi="Aptos" w:cs="Calibri Light"/>
              </w:rPr>
              <w:t>The Bill proposes to amend Section 17(5) by deleting paragraph (d) which allows taxpayers to apply for a refund within 24 months from the date the tax becomes due and payable and replacing it with a new paragraph (d) which allows taxpayer to apply for a refund within 24 months from the date the tax becomes due and payable.</w:t>
            </w:r>
          </w:p>
          <w:p w14:paraId="38DB40D3" w14:textId="77777777" w:rsidR="00A47F5B" w:rsidRPr="0051157C" w:rsidRDefault="00A47F5B" w:rsidP="00A47F5B">
            <w:pPr>
              <w:spacing w:line="240" w:lineRule="exact"/>
              <w:rPr>
                <w:rFonts w:ascii="Aptos" w:hAnsi="Aptos" w:cs="Calibri Light"/>
              </w:rPr>
            </w:pPr>
          </w:p>
          <w:p w14:paraId="5AF4A9D6" w14:textId="77777777" w:rsidR="00A47F5B" w:rsidRPr="0051157C" w:rsidRDefault="00A47F5B" w:rsidP="00A47F5B">
            <w:pPr>
              <w:jc w:val="both"/>
              <w:rPr>
                <w:rFonts w:ascii="Aptos" w:hAnsi="Aptos" w:cs="Calibri Light"/>
                <w:i/>
                <w:iCs/>
              </w:rPr>
            </w:pPr>
            <w:r w:rsidRPr="0051157C">
              <w:rPr>
                <w:rFonts w:ascii="Aptos" w:hAnsi="Aptos" w:cs="Calibri Light"/>
                <w:i/>
                <w:iCs/>
              </w:rPr>
              <w:t>“(d) the registered person lodges the claim for the refund of the excess tax within twenty-four months from the date the tax becomes due and payable;”</w:t>
            </w:r>
          </w:p>
          <w:p w14:paraId="471D36D6" w14:textId="77777777" w:rsidR="00A47F5B" w:rsidRPr="0051157C" w:rsidRDefault="00A47F5B" w:rsidP="00A47F5B">
            <w:pPr>
              <w:jc w:val="both"/>
              <w:rPr>
                <w:rFonts w:ascii="Aptos" w:hAnsi="Aptos" w:cstheme="majorHAnsi"/>
                <w:bCs/>
              </w:rPr>
            </w:pPr>
          </w:p>
          <w:p w14:paraId="554974A1" w14:textId="6A109E2A" w:rsidR="00A47F5B" w:rsidRPr="0051157C" w:rsidRDefault="00A47F5B" w:rsidP="00A47F5B">
            <w:pPr>
              <w:jc w:val="both"/>
              <w:rPr>
                <w:rFonts w:ascii="Aptos" w:hAnsi="Aptos" w:cstheme="majorHAnsi"/>
                <w:bCs/>
              </w:rPr>
            </w:pPr>
            <w:r w:rsidRPr="0051157C">
              <w:rPr>
                <w:rFonts w:ascii="Aptos" w:hAnsi="Aptos" w:cstheme="majorHAnsi"/>
                <w:bCs/>
              </w:rPr>
              <w:t>We recommend the retention of Section 17(5)(d) as presently drafted.</w:t>
            </w:r>
          </w:p>
          <w:p w14:paraId="6D3AE88D" w14:textId="1AA325B5" w:rsidR="00A47F5B" w:rsidRPr="0051157C" w:rsidRDefault="00A47F5B" w:rsidP="00A47F5B">
            <w:pPr>
              <w:jc w:val="both"/>
              <w:rPr>
                <w:rFonts w:ascii="Aptos" w:hAnsi="Aptos" w:cstheme="majorHAnsi"/>
                <w:bCs/>
              </w:rPr>
            </w:pPr>
          </w:p>
        </w:tc>
        <w:tc>
          <w:tcPr>
            <w:tcW w:w="4334" w:type="dxa"/>
          </w:tcPr>
          <w:p w14:paraId="7099BDD1" w14:textId="77777777" w:rsidR="00A47F5B" w:rsidRPr="0051157C" w:rsidRDefault="00A47F5B" w:rsidP="00A47F5B">
            <w:pPr>
              <w:rPr>
                <w:rFonts w:ascii="Aptos" w:hAnsi="Aptos" w:cs="Calibri Light"/>
              </w:rPr>
            </w:pPr>
            <w:r w:rsidRPr="0051157C">
              <w:rPr>
                <w:rFonts w:ascii="Aptos" w:hAnsi="Aptos" w:cs="Calibri Light"/>
              </w:rPr>
              <w:t>Limiting the VAT refund application period to 12 months will negatively impact taxpayers who experience challenges obtaining certain support documentation such as Certificate of Exports from the KRA.</w:t>
            </w:r>
          </w:p>
          <w:p w14:paraId="5513E446" w14:textId="77777777" w:rsidR="00A47F5B" w:rsidRPr="0051157C" w:rsidRDefault="00A47F5B" w:rsidP="00A47F5B">
            <w:pPr>
              <w:rPr>
                <w:rFonts w:ascii="Aptos" w:hAnsi="Aptos" w:cs="Calibri Light"/>
              </w:rPr>
            </w:pPr>
          </w:p>
          <w:p w14:paraId="32486DCD" w14:textId="77777777" w:rsidR="00A47F5B" w:rsidRPr="0051157C" w:rsidRDefault="00A47F5B" w:rsidP="00A47F5B">
            <w:pPr>
              <w:jc w:val="both"/>
              <w:rPr>
                <w:rFonts w:ascii="Aptos" w:hAnsi="Aptos" w:cs="Calibri Light"/>
              </w:rPr>
            </w:pPr>
            <w:r w:rsidRPr="0051157C">
              <w:rPr>
                <w:rFonts w:ascii="Aptos" w:hAnsi="Aptos" w:cs="Calibri Light"/>
              </w:rPr>
              <w:t>Taxpayers eligible for a refund by virtue of exporting goods are required to produce Certificate of Exports, which the KRA in some cases, take time to process and issue to taxpayers. The current 24 months period allows taxpayers time to follow up with KRA for such support documents and still manage to apply for the VAT refund.</w:t>
            </w:r>
          </w:p>
          <w:p w14:paraId="07F85EA4" w14:textId="77293A40" w:rsidR="00A47F5B" w:rsidRPr="0051157C" w:rsidRDefault="00A47F5B" w:rsidP="00A47F5B">
            <w:pPr>
              <w:jc w:val="both"/>
              <w:rPr>
                <w:rFonts w:ascii="Aptos" w:hAnsi="Aptos" w:cstheme="majorHAnsi"/>
                <w:bCs/>
              </w:rPr>
            </w:pPr>
          </w:p>
        </w:tc>
      </w:tr>
      <w:tr w:rsidR="00A47F5B" w:rsidRPr="0051157C" w14:paraId="3EB758A3" w14:textId="77777777" w:rsidTr="009A3429">
        <w:tc>
          <w:tcPr>
            <w:tcW w:w="535" w:type="dxa"/>
          </w:tcPr>
          <w:p w14:paraId="4F960ADA" w14:textId="61C358B4" w:rsidR="00A47F5B" w:rsidRPr="0051157C" w:rsidRDefault="00A47F5B" w:rsidP="00A47F5B">
            <w:pPr>
              <w:jc w:val="both"/>
              <w:rPr>
                <w:rFonts w:ascii="Aptos" w:hAnsi="Aptos" w:cstheme="minorHAnsi"/>
                <w:b/>
              </w:rPr>
            </w:pPr>
            <w:r>
              <w:rPr>
                <w:rFonts w:ascii="Aptos" w:hAnsi="Aptos" w:cstheme="minorHAnsi"/>
                <w:b/>
              </w:rPr>
              <w:t>3.</w:t>
            </w:r>
          </w:p>
        </w:tc>
        <w:tc>
          <w:tcPr>
            <w:tcW w:w="1949" w:type="dxa"/>
          </w:tcPr>
          <w:p w14:paraId="1841B801" w14:textId="17EBF82A" w:rsidR="00A47F5B" w:rsidRPr="00711282" w:rsidRDefault="00A47F5B" w:rsidP="00A47F5B">
            <w:pPr>
              <w:jc w:val="both"/>
              <w:rPr>
                <w:rFonts w:ascii="Aptos" w:hAnsi="Aptos" w:cstheme="minorHAnsi"/>
                <w:b/>
              </w:rPr>
            </w:pPr>
            <w:r>
              <w:rPr>
                <w:rFonts w:ascii="Aptos" w:hAnsi="Aptos" w:cstheme="minorHAnsi"/>
                <w:b/>
              </w:rPr>
              <w:t>Clause</w:t>
            </w:r>
            <w:r w:rsidRPr="00711282">
              <w:rPr>
                <w:rFonts w:ascii="Aptos" w:hAnsi="Aptos" w:cstheme="minorHAnsi"/>
                <w:b/>
              </w:rPr>
              <w:t xml:space="preserve"> 35 </w:t>
            </w:r>
          </w:p>
          <w:p w14:paraId="2C3CC58C" w14:textId="77777777" w:rsidR="00A47F5B" w:rsidRPr="00711282" w:rsidRDefault="00A47F5B" w:rsidP="00A47F5B">
            <w:pPr>
              <w:jc w:val="both"/>
              <w:rPr>
                <w:rFonts w:ascii="Aptos" w:hAnsi="Aptos" w:cstheme="minorHAnsi"/>
                <w:b/>
              </w:rPr>
            </w:pPr>
          </w:p>
          <w:p w14:paraId="4A2B338C" w14:textId="327354C4" w:rsidR="00A47F5B" w:rsidRPr="0051157C" w:rsidRDefault="00A47F5B" w:rsidP="00A47F5B">
            <w:pPr>
              <w:jc w:val="both"/>
              <w:rPr>
                <w:rFonts w:ascii="Aptos" w:hAnsi="Aptos" w:cstheme="minorHAnsi"/>
                <w:b/>
              </w:rPr>
            </w:pPr>
            <w:r w:rsidRPr="00711282">
              <w:rPr>
                <w:rFonts w:ascii="Aptos" w:hAnsi="Aptos" w:cstheme="minorHAnsi"/>
                <w:b/>
              </w:rPr>
              <w:t>Application of excess VAT credits arising from tax withheld by appointed withholding VAT agents</w:t>
            </w:r>
          </w:p>
        </w:tc>
        <w:tc>
          <w:tcPr>
            <w:tcW w:w="7636" w:type="dxa"/>
          </w:tcPr>
          <w:p w14:paraId="761A9721" w14:textId="77777777" w:rsidR="00A47F5B" w:rsidRPr="00F60BDB" w:rsidRDefault="00A47F5B" w:rsidP="00A47F5B">
            <w:pPr>
              <w:jc w:val="both"/>
              <w:rPr>
                <w:rFonts w:ascii="Aptos" w:hAnsi="Aptos" w:cstheme="majorHAnsi"/>
                <w:bCs/>
              </w:rPr>
            </w:pPr>
            <w:r w:rsidRPr="00F60BDB">
              <w:rPr>
                <w:rFonts w:ascii="Aptos" w:hAnsi="Aptos" w:cstheme="majorHAnsi"/>
                <w:bCs/>
              </w:rPr>
              <w:t>The Bill proposes to introduce Section 66A as follows:</w:t>
            </w:r>
          </w:p>
          <w:p w14:paraId="7524D3DB" w14:textId="77777777" w:rsidR="00A47F5B" w:rsidRPr="00F60BDB" w:rsidRDefault="00A47F5B" w:rsidP="00A47F5B">
            <w:pPr>
              <w:jc w:val="both"/>
              <w:rPr>
                <w:rFonts w:ascii="Aptos" w:hAnsi="Aptos" w:cstheme="majorHAnsi"/>
                <w:bCs/>
              </w:rPr>
            </w:pPr>
          </w:p>
          <w:p w14:paraId="6170CE79" w14:textId="77777777" w:rsidR="00A47F5B" w:rsidRDefault="00A47F5B" w:rsidP="00A47F5B">
            <w:pPr>
              <w:jc w:val="both"/>
              <w:rPr>
                <w:rFonts w:ascii="Aptos" w:hAnsi="Aptos" w:cstheme="majorHAnsi"/>
                <w:bCs/>
                <w:i/>
                <w:iCs/>
              </w:rPr>
            </w:pPr>
            <w:r w:rsidRPr="00F60BDB">
              <w:rPr>
                <w:rFonts w:ascii="Aptos" w:hAnsi="Aptos" w:cstheme="majorHAnsi"/>
                <w:bCs/>
              </w:rPr>
              <w:t>“</w:t>
            </w:r>
            <w:r w:rsidRPr="00F60BDB">
              <w:rPr>
                <w:rFonts w:ascii="Aptos" w:hAnsi="Aptos" w:cstheme="majorHAnsi"/>
                <w:bCs/>
                <w:i/>
                <w:iCs/>
              </w:rPr>
              <w:t>66A. Where a person imports or purchases goods or services which are exempt or zero-rated and the person subsequently disposes of, or uses, the goods or services supplied in a manner inconsistent with the purpose for which the goods or services were exempted or zero rated, the person shall be liable to pay tax on the goods or services at the applicable rate at the time of disposal or inconsistent use.”</w:t>
            </w:r>
          </w:p>
          <w:p w14:paraId="0DA92A81" w14:textId="77777777" w:rsidR="00A47F5B" w:rsidRDefault="00A47F5B" w:rsidP="00A47F5B">
            <w:pPr>
              <w:jc w:val="both"/>
              <w:rPr>
                <w:rFonts w:ascii="Aptos" w:hAnsi="Aptos" w:cstheme="majorHAnsi"/>
                <w:bCs/>
              </w:rPr>
            </w:pPr>
          </w:p>
          <w:p w14:paraId="2BDA709B" w14:textId="06E4D2DC" w:rsidR="00A47F5B" w:rsidRDefault="00A47F5B" w:rsidP="00A47F5B">
            <w:pPr>
              <w:jc w:val="both"/>
              <w:rPr>
                <w:rFonts w:ascii="Aptos" w:hAnsi="Aptos" w:cstheme="majorHAnsi"/>
                <w:bCs/>
              </w:rPr>
            </w:pPr>
            <w:r>
              <w:rPr>
                <w:rFonts w:ascii="Aptos" w:hAnsi="Aptos" w:cstheme="majorHAnsi"/>
                <w:bCs/>
              </w:rPr>
              <w:t>We recommend the deletion of this proposal in its entirety.</w:t>
            </w:r>
          </w:p>
          <w:p w14:paraId="76656057" w14:textId="1940449E" w:rsidR="00A47F5B" w:rsidRPr="0051157C" w:rsidRDefault="00A47F5B" w:rsidP="00A47F5B">
            <w:pPr>
              <w:jc w:val="both"/>
              <w:rPr>
                <w:rFonts w:ascii="Aptos" w:hAnsi="Aptos" w:cstheme="majorHAnsi"/>
                <w:bCs/>
              </w:rPr>
            </w:pPr>
          </w:p>
        </w:tc>
        <w:tc>
          <w:tcPr>
            <w:tcW w:w="4334" w:type="dxa"/>
          </w:tcPr>
          <w:p w14:paraId="05F6BA02" w14:textId="77777777" w:rsidR="00A47F5B" w:rsidRPr="00E26FFD" w:rsidRDefault="00A47F5B" w:rsidP="00A47F5B">
            <w:pPr>
              <w:jc w:val="both"/>
              <w:rPr>
                <w:rFonts w:ascii="Aptos" w:hAnsi="Aptos" w:cstheme="majorHAnsi"/>
                <w:bCs/>
              </w:rPr>
            </w:pPr>
            <w:r w:rsidRPr="00E26FFD">
              <w:rPr>
                <w:rFonts w:ascii="Aptos" w:hAnsi="Aptos" w:cstheme="majorHAnsi"/>
                <w:bCs/>
              </w:rPr>
              <w:lastRenderedPageBreak/>
              <w:t>The proposed new Section is likely to create ambiguity in its implementation since it is not clear which mischief it seeks to cure. The goods or services listed in the First and Second Schedule to the VAT Act retain the same exempt and zero-rating status irrespective of the number of times they are supplied, so long as the goods or services meet the VAT exempt, or zero-rating conditions provided under the VAT Act.</w:t>
            </w:r>
          </w:p>
          <w:p w14:paraId="654A889C" w14:textId="77777777" w:rsidR="00A47F5B" w:rsidRPr="00E26FFD" w:rsidRDefault="00A47F5B" w:rsidP="00A47F5B">
            <w:pPr>
              <w:jc w:val="both"/>
              <w:rPr>
                <w:rFonts w:ascii="Aptos" w:hAnsi="Aptos" w:cstheme="majorHAnsi"/>
                <w:bCs/>
              </w:rPr>
            </w:pPr>
          </w:p>
          <w:p w14:paraId="7767B71D" w14:textId="49689D7B" w:rsidR="00A47F5B" w:rsidRPr="00E26FFD" w:rsidRDefault="00A47F5B" w:rsidP="00A47F5B">
            <w:pPr>
              <w:jc w:val="both"/>
              <w:rPr>
                <w:rFonts w:ascii="Aptos" w:hAnsi="Aptos" w:cstheme="majorHAnsi"/>
                <w:bCs/>
              </w:rPr>
            </w:pPr>
            <w:r w:rsidRPr="00E26FFD">
              <w:rPr>
                <w:rFonts w:ascii="Aptos" w:hAnsi="Aptos" w:cstheme="majorHAnsi"/>
                <w:bCs/>
              </w:rPr>
              <w:t>If the intention is to prevent on-selling of certain project goods bought for projects granted exempt/or zero-rating status, then there</w:t>
            </w:r>
            <w:r>
              <w:rPr>
                <w:rFonts w:ascii="Aptos" w:hAnsi="Aptos" w:cstheme="majorHAnsi"/>
                <w:bCs/>
              </w:rPr>
              <w:t xml:space="preserve"> already exists</w:t>
            </w:r>
            <w:r w:rsidRPr="00E26FFD">
              <w:rPr>
                <w:rFonts w:ascii="Aptos" w:hAnsi="Aptos" w:cstheme="majorHAnsi"/>
                <w:bCs/>
              </w:rPr>
              <w:t xml:space="preserve">  safeguards within the VAT Act to address this as only goods/services purchased for official use of such project enjoy the availed VAT relief in terms of exemption or zero-rating. </w:t>
            </w:r>
          </w:p>
          <w:p w14:paraId="2A2DEBAF" w14:textId="77777777" w:rsidR="00A47F5B" w:rsidRPr="0051157C" w:rsidRDefault="00A47F5B" w:rsidP="00A47F5B">
            <w:pPr>
              <w:jc w:val="both"/>
              <w:rPr>
                <w:rFonts w:ascii="Aptos" w:hAnsi="Aptos" w:cstheme="majorHAnsi"/>
                <w:bCs/>
              </w:rPr>
            </w:pPr>
          </w:p>
        </w:tc>
      </w:tr>
      <w:tr w:rsidR="00A47F5B" w:rsidRPr="0051157C" w14:paraId="7260CB7C" w14:textId="77777777" w:rsidTr="009A3429">
        <w:tc>
          <w:tcPr>
            <w:tcW w:w="535" w:type="dxa"/>
          </w:tcPr>
          <w:p w14:paraId="27C972D0" w14:textId="1CD5F714" w:rsidR="00A47F5B" w:rsidRPr="0051157C" w:rsidRDefault="00A47F5B" w:rsidP="00A47F5B">
            <w:pPr>
              <w:jc w:val="both"/>
              <w:rPr>
                <w:rFonts w:ascii="Aptos" w:hAnsi="Aptos" w:cstheme="minorHAnsi"/>
                <w:b/>
              </w:rPr>
            </w:pPr>
            <w:r>
              <w:rPr>
                <w:rFonts w:ascii="Aptos" w:hAnsi="Aptos" w:cstheme="minorHAnsi"/>
                <w:b/>
              </w:rPr>
              <w:lastRenderedPageBreak/>
              <w:t>4.</w:t>
            </w:r>
          </w:p>
        </w:tc>
        <w:tc>
          <w:tcPr>
            <w:tcW w:w="1949" w:type="dxa"/>
          </w:tcPr>
          <w:p w14:paraId="3A397771" w14:textId="4D6E4EE6" w:rsidR="00A47F5B" w:rsidRPr="00E10F08" w:rsidRDefault="00A47F5B" w:rsidP="00A47F5B">
            <w:pPr>
              <w:jc w:val="both"/>
              <w:rPr>
                <w:rFonts w:ascii="Aptos" w:hAnsi="Aptos" w:cstheme="minorHAnsi"/>
                <w:b/>
              </w:rPr>
            </w:pPr>
            <w:r>
              <w:rPr>
                <w:rFonts w:ascii="Aptos" w:hAnsi="Aptos" w:cstheme="minorHAnsi"/>
                <w:b/>
              </w:rPr>
              <w:t>Clause</w:t>
            </w:r>
            <w:r w:rsidRPr="00E10F08">
              <w:rPr>
                <w:rFonts w:ascii="Aptos" w:hAnsi="Aptos" w:cstheme="minorHAnsi"/>
                <w:b/>
              </w:rPr>
              <w:t xml:space="preserve"> 36(j) </w:t>
            </w:r>
          </w:p>
          <w:p w14:paraId="49A7ED09" w14:textId="77777777" w:rsidR="00A47F5B" w:rsidRPr="00E10F08" w:rsidRDefault="00A47F5B" w:rsidP="00A47F5B">
            <w:pPr>
              <w:jc w:val="both"/>
              <w:rPr>
                <w:rFonts w:ascii="Aptos" w:hAnsi="Aptos" w:cstheme="minorHAnsi"/>
                <w:b/>
              </w:rPr>
            </w:pPr>
          </w:p>
          <w:p w14:paraId="60C82ED3" w14:textId="77777777" w:rsidR="00A47F5B" w:rsidRDefault="00A47F5B" w:rsidP="00A47F5B">
            <w:pPr>
              <w:jc w:val="both"/>
              <w:rPr>
                <w:rFonts w:ascii="Aptos" w:hAnsi="Aptos" w:cstheme="minorHAnsi"/>
                <w:b/>
              </w:rPr>
            </w:pPr>
            <w:r w:rsidRPr="00E10F08">
              <w:rPr>
                <w:rFonts w:ascii="Aptos" w:hAnsi="Aptos" w:cstheme="minorHAnsi"/>
                <w:b/>
              </w:rPr>
              <w:t>Subjecting specialized equipment for development and generation of solar and wind energy to VAT at 16%</w:t>
            </w:r>
          </w:p>
          <w:p w14:paraId="76465BC4" w14:textId="4A3D5AF2" w:rsidR="00A47F5B" w:rsidRPr="0051157C" w:rsidRDefault="00A47F5B" w:rsidP="00A47F5B">
            <w:pPr>
              <w:jc w:val="both"/>
              <w:rPr>
                <w:rFonts w:ascii="Aptos" w:hAnsi="Aptos" w:cstheme="minorHAnsi"/>
                <w:b/>
              </w:rPr>
            </w:pPr>
          </w:p>
        </w:tc>
        <w:tc>
          <w:tcPr>
            <w:tcW w:w="7636" w:type="dxa"/>
          </w:tcPr>
          <w:p w14:paraId="52FB3CFE" w14:textId="2BA3030A" w:rsidR="00A47F5B" w:rsidRPr="005C70A2" w:rsidRDefault="00A47F5B" w:rsidP="00A47F5B">
            <w:pPr>
              <w:jc w:val="both"/>
              <w:rPr>
                <w:rFonts w:ascii="Aptos" w:hAnsi="Aptos" w:cstheme="majorHAnsi"/>
                <w:bCs/>
              </w:rPr>
            </w:pPr>
            <w:r w:rsidRPr="005C70A2">
              <w:rPr>
                <w:rFonts w:ascii="Aptos" w:hAnsi="Aptos" w:cstheme="majorHAnsi"/>
                <w:bCs/>
              </w:rPr>
              <w:t>The Bill proposes to delete Paragraph 113 of Part</w:t>
            </w:r>
            <w:r>
              <w:rPr>
                <w:rFonts w:ascii="Aptos" w:hAnsi="Aptos" w:cstheme="majorHAnsi"/>
                <w:bCs/>
              </w:rPr>
              <w:t xml:space="preserve"> I</w:t>
            </w:r>
            <w:r w:rsidRPr="005C70A2">
              <w:rPr>
                <w:rFonts w:ascii="Aptos" w:hAnsi="Aptos" w:cstheme="majorHAnsi"/>
                <w:bCs/>
              </w:rPr>
              <w:t xml:space="preserve"> of the First Schedule to the VAT Act which exempts specialized equipment for the development and generation of solar and wind energy.</w:t>
            </w:r>
          </w:p>
          <w:p w14:paraId="0B5FC0FB" w14:textId="77777777" w:rsidR="00A47F5B" w:rsidRPr="005C70A2" w:rsidRDefault="00A47F5B" w:rsidP="00A47F5B">
            <w:pPr>
              <w:jc w:val="both"/>
              <w:rPr>
                <w:rFonts w:ascii="Aptos" w:hAnsi="Aptos" w:cstheme="majorHAnsi"/>
                <w:bCs/>
              </w:rPr>
            </w:pPr>
          </w:p>
          <w:p w14:paraId="74C4F9F9" w14:textId="77777777" w:rsidR="00A47F5B" w:rsidRDefault="00A47F5B" w:rsidP="00A47F5B">
            <w:pPr>
              <w:jc w:val="both"/>
              <w:rPr>
                <w:rFonts w:ascii="Aptos" w:hAnsi="Aptos" w:cstheme="majorHAnsi"/>
                <w:bCs/>
                <w:i/>
                <w:iCs/>
              </w:rPr>
            </w:pPr>
            <w:r w:rsidRPr="005C70A2">
              <w:rPr>
                <w:rFonts w:ascii="Aptos" w:hAnsi="Aptos" w:cstheme="majorHAnsi"/>
                <w:bCs/>
                <w:i/>
                <w:iCs/>
              </w:rPr>
              <w:t>113. Specialized equipment for the development and generation of solar and wind energy, including photovoltaic modules, direct current charge controllers, direct current inverters and deep cycle batteries that use or store solar power, upon recommendation to the Commissioner by the Cabinet Secretary responsible for matters relating to energy.</w:t>
            </w:r>
          </w:p>
          <w:p w14:paraId="538AD001" w14:textId="77777777" w:rsidR="00A47F5B" w:rsidRDefault="00A47F5B" w:rsidP="00A47F5B">
            <w:pPr>
              <w:jc w:val="both"/>
              <w:rPr>
                <w:rFonts w:ascii="Aptos" w:hAnsi="Aptos" w:cstheme="majorHAnsi"/>
                <w:bCs/>
              </w:rPr>
            </w:pPr>
          </w:p>
          <w:p w14:paraId="0EA93950" w14:textId="77777777" w:rsidR="00A47F5B" w:rsidRDefault="00A47F5B" w:rsidP="00A47F5B">
            <w:pPr>
              <w:jc w:val="both"/>
              <w:rPr>
                <w:rFonts w:ascii="Aptos" w:hAnsi="Aptos" w:cstheme="majorHAnsi"/>
                <w:bCs/>
              </w:rPr>
            </w:pPr>
            <w:r>
              <w:rPr>
                <w:rFonts w:ascii="Aptos" w:hAnsi="Aptos" w:cstheme="majorHAnsi"/>
                <w:bCs/>
              </w:rPr>
              <w:t xml:space="preserve">We recommend the retention of </w:t>
            </w:r>
            <w:r w:rsidRPr="005C70A2">
              <w:rPr>
                <w:rFonts w:ascii="Aptos" w:hAnsi="Aptos" w:cstheme="majorHAnsi"/>
                <w:bCs/>
              </w:rPr>
              <w:t>Paragraph 113 of Part</w:t>
            </w:r>
            <w:r>
              <w:rPr>
                <w:rFonts w:ascii="Aptos" w:hAnsi="Aptos" w:cstheme="majorHAnsi"/>
                <w:bCs/>
              </w:rPr>
              <w:t xml:space="preserve"> I</w:t>
            </w:r>
            <w:r w:rsidRPr="005C70A2">
              <w:rPr>
                <w:rFonts w:ascii="Aptos" w:hAnsi="Aptos" w:cstheme="majorHAnsi"/>
                <w:bCs/>
              </w:rPr>
              <w:t xml:space="preserve"> of the First Schedule to the VAT Act</w:t>
            </w:r>
            <w:r>
              <w:rPr>
                <w:rFonts w:ascii="Aptos" w:hAnsi="Aptos" w:cstheme="majorHAnsi"/>
                <w:bCs/>
              </w:rPr>
              <w:t>.</w:t>
            </w:r>
          </w:p>
          <w:p w14:paraId="043B75FA" w14:textId="5C6C7601" w:rsidR="00A47F5B" w:rsidRPr="0051157C" w:rsidRDefault="00A47F5B" w:rsidP="00A47F5B">
            <w:pPr>
              <w:jc w:val="both"/>
              <w:rPr>
                <w:rFonts w:ascii="Aptos" w:hAnsi="Aptos" w:cstheme="majorHAnsi"/>
                <w:bCs/>
              </w:rPr>
            </w:pPr>
          </w:p>
        </w:tc>
        <w:tc>
          <w:tcPr>
            <w:tcW w:w="4334" w:type="dxa"/>
          </w:tcPr>
          <w:p w14:paraId="7829B063" w14:textId="0AE1B8FB" w:rsidR="00A47F5B" w:rsidRPr="0051157C" w:rsidRDefault="00A47F5B" w:rsidP="00A47F5B">
            <w:pPr>
              <w:jc w:val="both"/>
              <w:rPr>
                <w:rFonts w:ascii="Aptos" w:hAnsi="Aptos" w:cstheme="majorHAnsi"/>
                <w:bCs/>
              </w:rPr>
            </w:pPr>
            <w:r w:rsidRPr="00631F78">
              <w:rPr>
                <w:rFonts w:ascii="Aptos" w:hAnsi="Aptos" w:cstheme="majorHAnsi"/>
                <w:bCs/>
              </w:rPr>
              <w:t>The proposal is likely to impact Kenya’s goal to generate 100% of its electricity from clean energy sources by 2030. It will also increase the cost of accessing solar energy and negatively impact the many parts of the country that are not connected to the national grid and rely on solar energy.</w:t>
            </w:r>
          </w:p>
        </w:tc>
      </w:tr>
      <w:tr w:rsidR="00A47F5B" w:rsidRPr="0051157C" w14:paraId="090CDABD" w14:textId="77777777" w:rsidTr="008C53CD">
        <w:tc>
          <w:tcPr>
            <w:tcW w:w="14454" w:type="dxa"/>
            <w:gridSpan w:val="4"/>
          </w:tcPr>
          <w:p w14:paraId="73A7D7C0" w14:textId="4C565F59" w:rsidR="00A47F5B" w:rsidRPr="0051157C" w:rsidRDefault="00A47F5B" w:rsidP="00A47F5B">
            <w:pPr>
              <w:jc w:val="both"/>
              <w:rPr>
                <w:rFonts w:ascii="Aptos" w:hAnsi="Aptos" w:cstheme="majorHAnsi"/>
                <w:bCs/>
              </w:rPr>
            </w:pPr>
            <w:r>
              <w:rPr>
                <w:rFonts w:ascii="Aptos" w:hAnsi="Aptos" w:cstheme="minorHAnsi"/>
                <w:b/>
              </w:rPr>
              <w:t>Proposals not in the Bill</w:t>
            </w:r>
          </w:p>
        </w:tc>
      </w:tr>
      <w:tr w:rsidR="00A47F5B" w:rsidRPr="0051157C" w14:paraId="65896F8B" w14:textId="77777777" w:rsidTr="009A3429">
        <w:tc>
          <w:tcPr>
            <w:tcW w:w="535" w:type="dxa"/>
          </w:tcPr>
          <w:p w14:paraId="53871FCD" w14:textId="651698AA" w:rsidR="00A47F5B" w:rsidRPr="0051157C" w:rsidRDefault="00A47F5B" w:rsidP="00A47F5B">
            <w:pPr>
              <w:jc w:val="both"/>
              <w:rPr>
                <w:rFonts w:ascii="Aptos" w:hAnsi="Aptos" w:cstheme="minorHAnsi"/>
                <w:b/>
              </w:rPr>
            </w:pPr>
            <w:r>
              <w:rPr>
                <w:rFonts w:ascii="Aptos" w:hAnsi="Aptos" w:cstheme="minorHAnsi"/>
                <w:b/>
              </w:rPr>
              <w:t>1.</w:t>
            </w:r>
          </w:p>
        </w:tc>
        <w:tc>
          <w:tcPr>
            <w:tcW w:w="1949" w:type="dxa"/>
          </w:tcPr>
          <w:p w14:paraId="12EE0176" w14:textId="755747E3" w:rsidR="00A47F5B" w:rsidRPr="009A3429" w:rsidRDefault="00A47F5B" w:rsidP="00A47F5B">
            <w:pPr>
              <w:jc w:val="both"/>
              <w:rPr>
                <w:rFonts w:ascii="Aptos" w:hAnsi="Aptos" w:cstheme="minorHAnsi"/>
                <w:b/>
              </w:rPr>
            </w:pPr>
            <w:r>
              <w:rPr>
                <w:rFonts w:ascii="Aptos" w:hAnsi="Aptos" w:cstheme="minorHAnsi"/>
                <w:b/>
              </w:rPr>
              <w:t xml:space="preserve">Section </w:t>
            </w:r>
            <w:r w:rsidRPr="009A3429">
              <w:rPr>
                <w:rFonts w:ascii="Aptos" w:hAnsi="Aptos" w:cstheme="minorHAnsi"/>
                <w:b/>
              </w:rPr>
              <w:t>17(5)(a) of the VAT Act.</w:t>
            </w:r>
          </w:p>
          <w:p w14:paraId="4FBACE8E" w14:textId="77777777" w:rsidR="00A47F5B" w:rsidRPr="009A3429" w:rsidRDefault="00A47F5B" w:rsidP="00A47F5B">
            <w:pPr>
              <w:jc w:val="both"/>
              <w:rPr>
                <w:rFonts w:ascii="Aptos" w:hAnsi="Aptos" w:cstheme="minorHAnsi"/>
                <w:b/>
              </w:rPr>
            </w:pPr>
          </w:p>
          <w:p w14:paraId="01DBEDD1" w14:textId="4C92F5E3" w:rsidR="00A47F5B" w:rsidRPr="0051157C" w:rsidRDefault="00A47F5B" w:rsidP="00A47F5B">
            <w:pPr>
              <w:jc w:val="both"/>
              <w:rPr>
                <w:rFonts w:ascii="Aptos" w:hAnsi="Aptos" w:cstheme="minorHAnsi"/>
                <w:b/>
              </w:rPr>
            </w:pPr>
            <w:r w:rsidRPr="009A3429">
              <w:rPr>
                <w:rFonts w:ascii="Aptos" w:hAnsi="Aptos" w:cstheme="minorHAnsi"/>
                <w:b/>
              </w:rPr>
              <w:t>Refund of input VAT arising from making zero-rated supplies</w:t>
            </w:r>
          </w:p>
        </w:tc>
        <w:tc>
          <w:tcPr>
            <w:tcW w:w="7636" w:type="dxa"/>
          </w:tcPr>
          <w:p w14:paraId="144646FC" w14:textId="77777777" w:rsidR="00A47F5B" w:rsidRPr="004825AD" w:rsidRDefault="00A47F5B" w:rsidP="00A47F5B">
            <w:pPr>
              <w:jc w:val="both"/>
              <w:rPr>
                <w:rFonts w:ascii="Aptos" w:hAnsi="Aptos" w:cstheme="majorHAnsi"/>
                <w:bCs/>
              </w:rPr>
            </w:pPr>
            <w:r w:rsidRPr="004825AD">
              <w:rPr>
                <w:rFonts w:ascii="Aptos" w:hAnsi="Aptos" w:cstheme="majorHAnsi"/>
                <w:bCs/>
              </w:rPr>
              <w:t xml:space="preserve">We propose the amendment of the Section 17(5)(a) of the VAT Act to introduce the phrase/proviso: </w:t>
            </w:r>
          </w:p>
          <w:p w14:paraId="671DF6C7" w14:textId="77777777" w:rsidR="00A47F5B" w:rsidRPr="004825AD" w:rsidRDefault="00A47F5B" w:rsidP="00A47F5B">
            <w:pPr>
              <w:jc w:val="both"/>
              <w:rPr>
                <w:rFonts w:ascii="Aptos" w:hAnsi="Aptos" w:cstheme="majorHAnsi"/>
                <w:bCs/>
              </w:rPr>
            </w:pPr>
          </w:p>
          <w:p w14:paraId="6D3F2571" w14:textId="03912A35" w:rsidR="00A47F5B" w:rsidRPr="0051157C" w:rsidRDefault="00A47F5B" w:rsidP="00A47F5B">
            <w:pPr>
              <w:jc w:val="both"/>
              <w:rPr>
                <w:rFonts w:ascii="Aptos" w:hAnsi="Aptos" w:cstheme="majorHAnsi"/>
                <w:bCs/>
              </w:rPr>
            </w:pPr>
            <w:r w:rsidRPr="004825AD">
              <w:rPr>
                <w:rFonts w:ascii="Aptos" w:hAnsi="Aptos" w:cstheme="majorHAnsi"/>
                <w:bCs/>
              </w:rPr>
              <w:t xml:space="preserve">“… </w:t>
            </w:r>
            <w:r w:rsidRPr="004825AD">
              <w:rPr>
                <w:rFonts w:ascii="Aptos" w:hAnsi="Aptos" w:cstheme="majorHAnsi"/>
                <w:bCs/>
                <w:i/>
                <w:iCs/>
              </w:rPr>
              <w:t>Provided that all input tax directly attributable to making zero-rated supplies shall be refundable in full and shall be excluded from the formula under Regulation 8 of the VAT Regulations</w:t>
            </w:r>
            <w:r w:rsidRPr="004825AD">
              <w:rPr>
                <w:rFonts w:ascii="Aptos" w:hAnsi="Aptos" w:cstheme="majorHAnsi"/>
                <w:bCs/>
              </w:rPr>
              <w:t>.”</w:t>
            </w:r>
          </w:p>
        </w:tc>
        <w:tc>
          <w:tcPr>
            <w:tcW w:w="4334" w:type="dxa"/>
          </w:tcPr>
          <w:p w14:paraId="602B8D91" w14:textId="77777777" w:rsidR="00A47F5B" w:rsidRPr="00A04E0C" w:rsidRDefault="00A47F5B" w:rsidP="00A47F5B">
            <w:pPr>
              <w:rPr>
                <w:rFonts w:ascii="Aptos" w:hAnsi="Aptos" w:cs="Calibri Light"/>
              </w:rPr>
            </w:pPr>
            <w:r w:rsidRPr="00A04E0C">
              <w:rPr>
                <w:rFonts w:ascii="Aptos" w:hAnsi="Aptos" w:cs="Calibri Light"/>
              </w:rPr>
              <w:t xml:space="preserve">Sectors like the agricultural sector that largely export their products are seasonal in nature where the produce takes time to mature and get harvested. During this period, the taxpayers continue incurring input VAT which is directly related to the produce to be exported. Before maturity </w:t>
            </w:r>
            <w:r w:rsidRPr="00A04E0C">
              <w:rPr>
                <w:rFonts w:ascii="Aptos" w:hAnsi="Aptos" w:cs="Calibri Light"/>
              </w:rPr>
              <w:lastRenderedPageBreak/>
              <w:t>and harvesting of the produce, it is not possible to declare zero rated sales in the VAT return. However, input VAT incurred will be included in the VAT returns for the periods with no exports.</w:t>
            </w:r>
          </w:p>
          <w:p w14:paraId="01E2E067" w14:textId="77777777" w:rsidR="00A47F5B" w:rsidRPr="00A04E0C" w:rsidRDefault="00A47F5B" w:rsidP="00A47F5B">
            <w:pPr>
              <w:rPr>
                <w:rFonts w:ascii="Aptos" w:hAnsi="Aptos" w:cs="Calibri Light"/>
              </w:rPr>
            </w:pPr>
          </w:p>
          <w:p w14:paraId="77C78909" w14:textId="77777777" w:rsidR="00A47F5B" w:rsidRPr="00A04E0C" w:rsidRDefault="00A47F5B" w:rsidP="00A47F5B">
            <w:pPr>
              <w:rPr>
                <w:rFonts w:ascii="Aptos" w:hAnsi="Aptos" w:cs="Calibri Light"/>
              </w:rPr>
            </w:pPr>
            <w:r w:rsidRPr="00A04E0C">
              <w:rPr>
                <w:rFonts w:ascii="Aptos" w:hAnsi="Aptos" w:cs="Calibri Light"/>
              </w:rPr>
              <w:t>Therefore, when the KRA applies Regulation 8 in determining the refundable VAT amount for these months with no zero-rated sales, the resultant refundable amount is zero/nil. This is unfair and disadvantages taxpayers with seasonal zero-rated sales due to the nature of their crops or the production process and favours taxpayers who make continuous monthly zero-rated sales.</w:t>
            </w:r>
          </w:p>
          <w:p w14:paraId="3CE11243" w14:textId="77777777" w:rsidR="00A47F5B" w:rsidRPr="00A04E0C" w:rsidRDefault="00A47F5B" w:rsidP="00A47F5B">
            <w:pPr>
              <w:rPr>
                <w:rFonts w:ascii="Aptos" w:hAnsi="Aptos" w:cs="Calibri Light"/>
              </w:rPr>
            </w:pPr>
          </w:p>
          <w:p w14:paraId="218665CA" w14:textId="77777777" w:rsidR="00A47F5B" w:rsidRPr="00A04E0C" w:rsidRDefault="00A47F5B" w:rsidP="00A47F5B">
            <w:pPr>
              <w:rPr>
                <w:rFonts w:ascii="Aptos" w:hAnsi="Aptos" w:cs="Calibri Light"/>
              </w:rPr>
            </w:pPr>
            <w:r w:rsidRPr="00A04E0C">
              <w:rPr>
                <w:rFonts w:ascii="Aptos" w:hAnsi="Aptos" w:cs="Calibri Light"/>
              </w:rPr>
              <w:t>Note that Section 17(5) of the VAT Act entitles taxpayers to refund of excess input tax arising from making zero-rated supplies.</w:t>
            </w:r>
          </w:p>
          <w:p w14:paraId="3BFBBADE" w14:textId="77777777" w:rsidR="00A47F5B" w:rsidRPr="00A04E0C" w:rsidRDefault="00A47F5B" w:rsidP="00A47F5B">
            <w:pPr>
              <w:rPr>
                <w:rFonts w:ascii="Aptos" w:hAnsi="Aptos" w:cs="Calibri Light"/>
              </w:rPr>
            </w:pPr>
          </w:p>
          <w:p w14:paraId="433CB13D" w14:textId="77777777" w:rsidR="00A47F5B" w:rsidRPr="00A04E0C" w:rsidRDefault="00A47F5B" w:rsidP="00A47F5B">
            <w:pPr>
              <w:rPr>
                <w:rFonts w:ascii="Aptos" w:hAnsi="Aptos" w:cs="Calibri Light"/>
              </w:rPr>
            </w:pPr>
            <w:r w:rsidRPr="00A04E0C">
              <w:rPr>
                <w:rFonts w:ascii="Aptos" w:hAnsi="Aptos" w:cs="Calibri Light"/>
              </w:rPr>
              <w:t>Section 17(6) of the VAT Act further provides that if a taxable supply to, or a taxable import by, a registered person during a tax period relates partly to making taxable supplies and partly for another use, the input tax deductible by the person for acquisitions made during the tax period shall be determined as follows:</w:t>
            </w:r>
          </w:p>
          <w:p w14:paraId="0A683BCB" w14:textId="77777777" w:rsidR="00A47F5B" w:rsidRPr="00A04E0C" w:rsidRDefault="00A47F5B" w:rsidP="00A47F5B">
            <w:pPr>
              <w:rPr>
                <w:rFonts w:ascii="Aptos" w:hAnsi="Aptos" w:cs="Calibri Light"/>
              </w:rPr>
            </w:pPr>
          </w:p>
          <w:p w14:paraId="5BCA8AEC" w14:textId="77777777" w:rsidR="00A47F5B" w:rsidRPr="00A04E0C" w:rsidRDefault="00A47F5B" w:rsidP="00E9775B">
            <w:pPr>
              <w:pStyle w:val="ListParagraph"/>
              <w:numPr>
                <w:ilvl w:val="0"/>
                <w:numId w:val="16"/>
              </w:numPr>
              <w:spacing w:line="280" w:lineRule="atLeast"/>
              <w:contextualSpacing w:val="0"/>
              <w:rPr>
                <w:rFonts w:ascii="Aptos" w:hAnsi="Aptos" w:cs="Calibri Light"/>
              </w:rPr>
            </w:pPr>
            <w:r w:rsidRPr="00A04E0C">
              <w:rPr>
                <w:rFonts w:ascii="Aptos" w:hAnsi="Aptos" w:cs="Calibri Light"/>
                <w:b/>
                <w:bCs/>
                <w:i/>
                <w:iCs/>
              </w:rPr>
              <w:lastRenderedPageBreak/>
              <w:t>full deduction of all the input tax attributable to taxable supplies</w:t>
            </w:r>
            <w:r w:rsidRPr="00A04E0C">
              <w:rPr>
                <w:rFonts w:ascii="Aptos" w:hAnsi="Aptos" w:cs="Calibri Light"/>
              </w:rPr>
              <w:t xml:space="preserve">; </w:t>
            </w:r>
          </w:p>
          <w:p w14:paraId="04407813" w14:textId="77777777" w:rsidR="00A47F5B" w:rsidRPr="00A04E0C" w:rsidRDefault="00A47F5B" w:rsidP="00E9775B">
            <w:pPr>
              <w:pStyle w:val="ListParagraph"/>
              <w:numPr>
                <w:ilvl w:val="0"/>
                <w:numId w:val="16"/>
              </w:numPr>
              <w:spacing w:line="280" w:lineRule="atLeast"/>
              <w:contextualSpacing w:val="0"/>
              <w:rPr>
                <w:rFonts w:ascii="Aptos" w:hAnsi="Aptos" w:cs="Calibri Light"/>
              </w:rPr>
            </w:pPr>
            <w:r w:rsidRPr="00A04E0C">
              <w:rPr>
                <w:rFonts w:ascii="Aptos" w:hAnsi="Aptos" w:cs="Calibri Light"/>
              </w:rPr>
              <w:t>no deduction of any input tax which is directly attributable to other use; and</w:t>
            </w:r>
          </w:p>
          <w:p w14:paraId="384B1970" w14:textId="77777777" w:rsidR="00A47F5B" w:rsidRPr="00A04E0C" w:rsidRDefault="00A47F5B" w:rsidP="00E9775B">
            <w:pPr>
              <w:pStyle w:val="ListParagraph"/>
              <w:numPr>
                <w:ilvl w:val="0"/>
                <w:numId w:val="16"/>
              </w:numPr>
              <w:spacing w:line="280" w:lineRule="atLeast"/>
              <w:contextualSpacing w:val="0"/>
              <w:rPr>
                <w:rFonts w:ascii="Aptos" w:hAnsi="Aptos" w:cs="Calibri Light"/>
              </w:rPr>
            </w:pPr>
            <w:r w:rsidRPr="00A04E0C">
              <w:rPr>
                <w:rFonts w:ascii="Aptos" w:hAnsi="Aptos" w:cs="Calibri Light"/>
              </w:rPr>
              <w:t>deduction of input tax attributable to both taxable supplies and other uses calculated according to the following formula: A * (B /C) where:</w:t>
            </w:r>
          </w:p>
          <w:p w14:paraId="341BC1CB" w14:textId="77777777" w:rsidR="00A47F5B" w:rsidRPr="00A04E0C" w:rsidRDefault="00A47F5B" w:rsidP="00A47F5B">
            <w:pPr>
              <w:rPr>
                <w:rFonts w:ascii="Aptos" w:hAnsi="Aptos" w:cs="Calibri Light"/>
              </w:rPr>
            </w:pPr>
          </w:p>
          <w:p w14:paraId="27E65600" w14:textId="77777777" w:rsidR="00A47F5B" w:rsidRPr="00A04E0C" w:rsidRDefault="00A47F5B" w:rsidP="00A47F5B">
            <w:pPr>
              <w:ind w:left="188"/>
              <w:rPr>
                <w:rFonts w:ascii="Aptos" w:hAnsi="Aptos" w:cs="Calibri Light"/>
              </w:rPr>
            </w:pPr>
            <w:r w:rsidRPr="00A04E0C">
              <w:rPr>
                <w:rFonts w:ascii="Aptos" w:hAnsi="Aptos" w:cs="Calibri Light"/>
                <w:b/>
                <w:bCs/>
              </w:rPr>
              <w:t>A</w:t>
            </w:r>
            <w:r w:rsidRPr="00A04E0C">
              <w:rPr>
                <w:rFonts w:ascii="Aptos" w:hAnsi="Aptos" w:cs="Calibri Light"/>
              </w:rPr>
              <w:t>: is the total amount of input tax that relate partly to making taxable supplies and partly for another use;</w:t>
            </w:r>
          </w:p>
          <w:p w14:paraId="4A7DFBE4" w14:textId="77777777" w:rsidR="00A47F5B" w:rsidRPr="00A04E0C" w:rsidRDefault="00A47F5B" w:rsidP="00A47F5B">
            <w:pPr>
              <w:ind w:left="188"/>
              <w:rPr>
                <w:rFonts w:ascii="Aptos" w:hAnsi="Aptos" w:cs="Calibri Light"/>
              </w:rPr>
            </w:pPr>
            <w:r w:rsidRPr="00A04E0C">
              <w:rPr>
                <w:rFonts w:ascii="Aptos" w:hAnsi="Aptos" w:cs="Calibri Light"/>
              </w:rPr>
              <w:t xml:space="preserve"> </w:t>
            </w:r>
          </w:p>
          <w:p w14:paraId="5E353504" w14:textId="77777777" w:rsidR="00A47F5B" w:rsidRPr="00A04E0C" w:rsidRDefault="00A47F5B" w:rsidP="00A47F5B">
            <w:pPr>
              <w:ind w:left="188"/>
              <w:rPr>
                <w:rFonts w:ascii="Aptos" w:hAnsi="Aptos" w:cs="Calibri Light"/>
              </w:rPr>
            </w:pPr>
            <w:r w:rsidRPr="00A04E0C">
              <w:rPr>
                <w:rFonts w:ascii="Aptos" w:hAnsi="Aptos" w:cs="Calibri Light"/>
                <w:b/>
                <w:bCs/>
              </w:rPr>
              <w:t>B</w:t>
            </w:r>
            <w:r w:rsidRPr="00A04E0C">
              <w:rPr>
                <w:rFonts w:ascii="Aptos" w:hAnsi="Aptos" w:cs="Calibri Light"/>
              </w:rPr>
              <w:t>: is the value of all taxable supplies made by the registered person during the period; and</w:t>
            </w:r>
          </w:p>
          <w:p w14:paraId="3A3FB677" w14:textId="77777777" w:rsidR="00A47F5B" w:rsidRPr="00A04E0C" w:rsidRDefault="00A47F5B" w:rsidP="00A47F5B">
            <w:pPr>
              <w:ind w:left="188"/>
              <w:rPr>
                <w:rFonts w:ascii="Aptos" w:hAnsi="Aptos" w:cs="Calibri Light"/>
                <w:b/>
                <w:bCs/>
              </w:rPr>
            </w:pPr>
          </w:p>
          <w:p w14:paraId="3947CF2B" w14:textId="77777777" w:rsidR="00A47F5B" w:rsidRPr="00A04E0C" w:rsidRDefault="00A47F5B" w:rsidP="00A47F5B">
            <w:pPr>
              <w:ind w:left="188"/>
              <w:rPr>
                <w:rFonts w:ascii="Aptos" w:hAnsi="Aptos" w:cs="Calibri Light"/>
              </w:rPr>
            </w:pPr>
            <w:r w:rsidRPr="00A04E0C">
              <w:rPr>
                <w:rFonts w:ascii="Aptos" w:hAnsi="Aptos" w:cs="Calibri Light"/>
                <w:b/>
                <w:bCs/>
              </w:rPr>
              <w:t>C</w:t>
            </w:r>
            <w:r w:rsidRPr="00A04E0C">
              <w:rPr>
                <w:rFonts w:ascii="Aptos" w:hAnsi="Aptos" w:cs="Calibri Light"/>
              </w:rPr>
              <w:t>: is the value of all supplies made by the registered person during the period in Kenya.</w:t>
            </w:r>
          </w:p>
          <w:p w14:paraId="12E37998" w14:textId="77777777" w:rsidR="00A47F5B" w:rsidRPr="00A04E0C" w:rsidRDefault="00A47F5B" w:rsidP="00A47F5B">
            <w:pPr>
              <w:rPr>
                <w:rFonts w:ascii="Aptos" w:hAnsi="Aptos" w:cs="Calibri Light"/>
              </w:rPr>
            </w:pPr>
          </w:p>
          <w:p w14:paraId="3BBC6EF2" w14:textId="77777777" w:rsidR="00A47F5B" w:rsidRPr="00A04E0C" w:rsidRDefault="00A47F5B" w:rsidP="00A47F5B">
            <w:pPr>
              <w:rPr>
                <w:rFonts w:ascii="Aptos" w:hAnsi="Aptos" w:cs="Calibri Light"/>
              </w:rPr>
            </w:pPr>
            <w:r w:rsidRPr="00A04E0C">
              <w:rPr>
                <w:rFonts w:ascii="Aptos" w:hAnsi="Aptos" w:cs="Calibri Light"/>
              </w:rPr>
              <w:t xml:space="preserve">However, Regulation 8 of the VAT Regulations which provides a formula for determining VAT amount refundable to taxpayers does not consider the – ‘direct attribution principle’ espoused under Section 17(6) of the VAT Act. The formula is </w:t>
            </w:r>
            <w:r w:rsidRPr="00A04E0C">
              <w:rPr>
                <w:rFonts w:ascii="Aptos" w:hAnsi="Aptos" w:cs="Calibri Light"/>
                <w:b/>
                <w:bCs/>
                <w:i/>
                <w:iCs/>
              </w:rPr>
              <w:t>R = (Z/T) * i</w:t>
            </w:r>
            <w:r w:rsidRPr="00A04E0C">
              <w:rPr>
                <w:rFonts w:ascii="Aptos" w:hAnsi="Aptos" w:cs="Calibri Light"/>
              </w:rPr>
              <w:t xml:space="preserve"> where:</w:t>
            </w:r>
          </w:p>
          <w:p w14:paraId="46F912A1" w14:textId="77777777" w:rsidR="00A47F5B" w:rsidRPr="00A04E0C" w:rsidRDefault="00A47F5B" w:rsidP="00A47F5B">
            <w:pPr>
              <w:rPr>
                <w:rFonts w:ascii="Aptos" w:hAnsi="Aptos" w:cs="Calibri Light"/>
              </w:rPr>
            </w:pPr>
          </w:p>
          <w:p w14:paraId="5C4C86B9" w14:textId="77777777" w:rsidR="00A47F5B" w:rsidRPr="00A04E0C" w:rsidRDefault="00A47F5B" w:rsidP="00A47F5B">
            <w:pPr>
              <w:ind w:left="188"/>
              <w:rPr>
                <w:rFonts w:ascii="Aptos" w:hAnsi="Aptos" w:cs="Calibri Light"/>
              </w:rPr>
            </w:pPr>
            <w:r w:rsidRPr="00A04E0C">
              <w:rPr>
                <w:rFonts w:ascii="Aptos" w:hAnsi="Aptos" w:cs="Calibri Light"/>
                <w:b/>
                <w:bCs/>
                <w:i/>
                <w:iCs/>
              </w:rPr>
              <w:lastRenderedPageBreak/>
              <w:t>R</w:t>
            </w:r>
            <w:r w:rsidRPr="00A04E0C">
              <w:rPr>
                <w:rFonts w:ascii="Aptos" w:hAnsi="Aptos" w:cs="Calibri Light"/>
              </w:rPr>
              <w:t>: is the value of input tax relating to zero rated supplies;</w:t>
            </w:r>
          </w:p>
          <w:p w14:paraId="7ED9580C" w14:textId="77777777" w:rsidR="00A47F5B" w:rsidRPr="00A04E0C" w:rsidRDefault="00A47F5B" w:rsidP="00A47F5B">
            <w:pPr>
              <w:ind w:left="188"/>
              <w:rPr>
                <w:rFonts w:ascii="Aptos" w:hAnsi="Aptos" w:cs="Calibri Light"/>
              </w:rPr>
            </w:pPr>
          </w:p>
          <w:p w14:paraId="7313B353" w14:textId="77777777" w:rsidR="00A47F5B" w:rsidRPr="00A04E0C" w:rsidRDefault="00A47F5B" w:rsidP="00A47F5B">
            <w:pPr>
              <w:ind w:left="188"/>
              <w:rPr>
                <w:rFonts w:ascii="Aptos" w:hAnsi="Aptos" w:cs="Calibri Light"/>
              </w:rPr>
            </w:pPr>
            <w:r w:rsidRPr="00A04E0C">
              <w:rPr>
                <w:rFonts w:ascii="Aptos" w:hAnsi="Aptos" w:cs="Calibri Light"/>
                <w:b/>
                <w:bCs/>
                <w:i/>
                <w:iCs/>
              </w:rPr>
              <w:t>Z</w:t>
            </w:r>
            <w:r w:rsidRPr="00A04E0C">
              <w:rPr>
                <w:rFonts w:ascii="Aptos" w:hAnsi="Aptos" w:cs="Calibri Light"/>
              </w:rPr>
              <w:t>: is the total value of the zero-rated supplies;</w:t>
            </w:r>
          </w:p>
          <w:p w14:paraId="55D377CE" w14:textId="77777777" w:rsidR="00A47F5B" w:rsidRPr="00A04E0C" w:rsidRDefault="00A47F5B" w:rsidP="00A47F5B">
            <w:pPr>
              <w:ind w:left="188"/>
              <w:rPr>
                <w:rFonts w:ascii="Aptos" w:hAnsi="Aptos" w:cs="Calibri Light"/>
                <w:b/>
                <w:bCs/>
                <w:i/>
                <w:iCs/>
              </w:rPr>
            </w:pPr>
          </w:p>
          <w:p w14:paraId="2CA7EF08" w14:textId="77777777" w:rsidR="00A47F5B" w:rsidRPr="00A04E0C" w:rsidRDefault="00A47F5B" w:rsidP="00A47F5B">
            <w:pPr>
              <w:ind w:left="188"/>
              <w:rPr>
                <w:rFonts w:ascii="Aptos" w:hAnsi="Aptos" w:cs="Calibri Light"/>
              </w:rPr>
            </w:pPr>
            <w:r w:rsidRPr="00A04E0C">
              <w:rPr>
                <w:rFonts w:ascii="Aptos" w:hAnsi="Aptos" w:cs="Calibri Light"/>
                <w:b/>
                <w:bCs/>
                <w:i/>
                <w:iCs/>
              </w:rPr>
              <w:t>T</w:t>
            </w:r>
            <w:r w:rsidRPr="00A04E0C">
              <w:rPr>
                <w:rFonts w:ascii="Aptos" w:hAnsi="Aptos" w:cs="Calibri Light"/>
              </w:rPr>
              <w:t>: is the total value of the taxable supplies; and</w:t>
            </w:r>
          </w:p>
          <w:p w14:paraId="4189CD8A" w14:textId="77777777" w:rsidR="00A47F5B" w:rsidRPr="00A04E0C" w:rsidRDefault="00A47F5B" w:rsidP="00A47F5B">
            <w:pPr>
              <w:ind w:left="188"/>
              <w:rPr>
                <w:rFonts w:ascii="Aptos" w:hAnsi="Aptos" w:cs="Calibri Light"/>
                <w:b/>
                <w:bCs/>
                <w:i/>
                <w:iCs/>
              </w:rPr>
            </w:pPr>
          </w:p>
          <w:p w14:paraId="5E9EF37C" w14:textId="77777777" w:rsidR="00A47F5B" w:rsidRPr="00A04E0C" w:rsidRDefault="00A47F5B" w:rsidP="00A47F5B">
            <w:pPr>
              <w:ind w:left="188"/>
              <w:rPr>
                <w:rFonts w:ascii="Aptos" w:hAnsi="Aptos" w:cs="Calibri Light"/>
              </w:rPr>
            </w:pPr>
            <w:r w:rsidRPr="00A04E0C">
              <w:rPr>
                <w:rFonts w:ascii="Aptos" w:hAnsi="Aptos" w:cs="Calibri Light"/>
                <w:b/>
                <w:bCs/>
                <w:i/>
                <w:iCs/>
              </w:rPr>
              <w:t>i</w:t>
            </w:r>
            <w:r w:rsidRPr="00A04E0C">
              <w:rPr>
                <w:rFonts w:ascii="Aptos" w:hAnsi="Aptos" w:cs="Calibri Light"/>
              </w:rPr>
              <w:t>: is the deductible input tax for the month of supply.</w:t>
            </w:r>
          </w:p>
          <w:p w14:paraId="12EFB969" w14:textId="77777777" w:rsidR="00A47F5B" w:rsidRPr="00A04E0C" w:rsidRDefault="00A47F5B" w:rsidP="00A47F5B">
            <w:pPr>
              <w:rPr>
                <w:rFonts w:ascii="Aptos" w:hAnsi="Aptos" w:cs="Calibri Light"/>
              </w:rPr>
            </w:pPr>
          </w:p>
          <w:p w14:paraId="11A8B110" w14:textId="77777777" w:rsidR="00A47F5B" w:rsidRPr="00A04E0C" w:rsidRDefault="00A47F5B" w:rsidP="00A47F5B">
            <w:pPr>
              <w:rPr>
                <w:rFonts w:ascii="Aptos" w:hAnsi="Aptos" w:cs="Calibri Light"/>
              </w:rPr>
            </w:pPr>
            <w:r w:rsidRPr="00A04E0C">
              <w:rPr>
                <w:rFonts w:ascii="Aptos" w:hAnsi="Aptos" w:cs="Calibri Light"/>
              </w:rPr>
              <w:t>The above formula requires taxpayers who make partly zero-rated supplies and partly standard rated supplies to apportion all input tax incurred for VAT refund purposes instead of allowing full refund of all the input tax directly attributable to zero-rated supplies.</w:t>
            </w:r>
          </w:p>
          <w:p w14:paraId="0F9D63F8" w14:textId="77777777" w:rsidR="00A47F5B" w:rsidRPr="00A04E0C" w:rsidRDefault="00A47F5B" w:rsidP="00A47F5B">
            <w:pPr>
              <w:rPr>
                <w:rFonts w:ascii="Aptos" w:hAnsi="Aptos" w:cs="Calibri Light"/>
              </w:rPr>
            </w:pPr>
          </w:p>
          <w:p w14:paraId="2410DA91" w14:textId="77777777" w:rsidR="00A47F5B" w:rsidRPr="00A04E0C" w:rsidRDefault="00A47F5B" w:rsidP="00A47F5B">
            <w:pPr>
              <w:rPr>
                <w:rFonts w:ascii="Aptos" w:hAnsi="Aptos" w:cs="Calibri Light"/>
              </w:rPr>
            </w:pPr>
            <w:r w:rsidRPr="00A04E0C">
              <w:rPr>
                <w:rFonts w:ascii="Aptos" w:hAnsi="Aptos" w:cs="Calibri Light"/>
              </w:rPr>
              <w:t>Our proposed amendment will therefore:</w:t>
            </w:r>
          </w:p>
          <w:p w14:paraId="359DAC5E" w14:textId="77777777" w:rsidR="00A47F5B" w:rsidRPr="00A04E0C" w:rsidRDefault="00A47F5B" w:rsidP="00A47F5B">
            <w:pPr>
              <w:rPr>
                <w:rFonts w:ascii="Aptos" w:hAnsi="Aptos" w:cs="Calibri Light"/>
              </w:rPr>
            </w:pPr>
          </w:p>
          <w:p w14:paraId="1A94365C" w14:textId="77777777" w:rsidR="00A47F5B" w:rsidRDefault="00A47F5B" w:rsidP="00E9775B">
            <w:pPr>
              <w:pStyle w:val="ListParagraph"/>
              <w:numPr>
                <w:ilvl w:val="0"/>
                <w:numId w:val="15"/>
              </w:numPr>
              <w:spacing w:line="280" w:lineRule="atLeast"/>
              <w:contextualSpacing w:val="0"/>
              <w:rPr>
                <w:rFonts w:ascii="Aptos" w:hAnsi="Aptos" w:cs="Calibri Light"/>
              </w:rPr>
            </w:pPr>
            <w:r w:rsidRPr="00A04E0C">
              <w:rPr>
                <w:rFonts w:ascii="Aptos" w:hAnsi="Aptos" w:cs="Calibri Light"/>
              </w:rPr>
              <w:t xml:space="preserve">eliminate the unfairness under Regulation 8 of the VAT Regulations. </w:t>
            </w:r>
          </w:p>
          <w:p w14:paraId="528AFDB2" w14:textId="77777777" w:rsidR="00A47F5B" w:rsidRDefault="00A47F5B" w:rsidP="00E9775B">
            <w:pPr>
              <w:pStyle w:val="ListParagraph"/>
              <w:numPr>
                <w:ilvl w:val="0"/>
                <w:numId w:val="15"/>
              </w:numPr>
              <w:spacing w:line="280" w:lineRule="atLeast"/>
              <w:contextualSpacing w:val="0"/>
              <w:rPr>
                <w:rFonts w:ascii="Aptos" w:hAnsi="Aptos" w:cs="Calibri Light"/>
              </w:rPr>
            </w:pPr>
            <w:r w:rsidRPr="009B38AF">
              <w:rPr>
                <w:rFonts w:ascii="Aptos" w:hAnsi="Aptos" w:cs="Calibri Light"/>
              </w:rPr>
              <w:t>ensure that the VAT Regulation aligns with the direct attribution principle’ espoused under the principal legislation, being Section 17(6) of the VAT Act.</w:t>
            </w:r>
          </w:p>
          <w:p w14:paraId="2A8C5AF0" w14:textId="2A4B01E3" w:rsidR="00A47F5B" w:rsidRPr="009B38AF" w:rsidRDefault="00A47F5B" w:rsidP="00A47F5B">
            <w:pPr>
              <w:pStyle w:val="ListParagraph"/>
              <w:spacing w:line="280" w:lineRule="atLeast"/>
              <w:contextualSpacing w:val="0"/>
              <w:rPr>
                <w:rFonts w:ascii="Aptos" w:hAnsi="Aptos" w:cs="Calibri Light"/>
              </w:rPr>
            </w:pPr>
          </w:p>
        </w:tc>
      </w:tr>
      <w:tr w:rsidR="00A47F5B" w:rsidRPr="0051157C" w14:paraId="47BD33F7" w14:textId="77777777" w:rsidTr="009A3429">
        <w:tc>
          <w:tcPr>
            <w:tcW w:w="535" w:type="dxa"/>
          </w:tcPr>
          <w:p w14:paraId="6B375739" w14:textId="7573D88B" w:rsidR="00A47F5B" w:rsidRPr="0051157C" w:rsidRDefault="00A47F5B" w:rsidP="00A47F5B">
            <w:pPr>
              <w:jc w:val="both"/>
              <w:rPr>
                <w:rFonts w:ascii="Aptos" w:hAnsi="Aptos" w:cstheme="minorHAnsi"/>
                <w:b/>
              </w:rPr>
            </w:pPr>
            <w:r>
              <w:rPr>
                <w:rFonts w:ascii="Aptos" w:hAnsi="Aptos" w:cstheme="minorHAnsi"/>
                <w:b/>
              </w:rPr>
              <w:lastRenderedPageBreak/>
              <w:t>2.</w:t>
            </w:r>
          </w:p>
        </w:tc>
        <w:tc>
          <w:tcPr>
            <w:tcW w:w="1949" w:type="dxa"/>
          </w:tcPr>
          <w:p w14:paraId="451A2935" w14:textId="1D3FAD52" w:rsidR="00A47F5B" w:rsidRPr="0051157C" w:rsidRDefault="00A47F5B" w:rsidP="00A47F5B">
            <w:pPr>
              <w:jc w:val="both"/>
              <w:rPr>
                <w:rFonts w:ascii="Aptos" w:hAnsi="Aptos" w:cstheme="minorHAnsi"/>
                <w:b/>
              </w:rPr>
            </w:pPr>
            <w:r w:rsidRPr="007963ED">
              <w:rPr>
                <w:rFonts w:ascii="Aptos" w:hAnsi="Aptos" w:cstheme="minorHAnsi"/>
                <w:b/>
              </w:rPr>
              <w:t>Paragraph 146 of Part I of the First Schedule to the VAT Act which exempts capital goods promote investment in the manufacturing sector where the investment is two billion and above</w:t>
            </w:r>
            <w:r>
              <w:rPr>
                <w:rFonts w:ascii="Aptos" w:hAnsi="Aptos" w:cstheme="minorHAnsi"/>
                <w:b/>
              </w:rPr>
              <w:t>.</w:t>
            </w:r>
          </w:p>
        </w:tc>
        <w:tc>
          <w:tcPr>
            <w:tcW w:w="7636" w:type="dxa"/>
          </w:tcPr>
          <w:p w14:paraId="2FC27B6C" w14:textId="77777777" w:rsidR="00A47F5B" w:rsidRPr="00FA383A" w:rsidRDefault="00A47F5B" w:rsidP="00A47F5B">
            <w:pPr>
              <w:jc w:val="both"/>
              <w:rPr>
                <w:rFonts w:ascii="Aptos" w:hAnsi="Aptos" w:cstheme="majorHAnsi"/>
                <w:bCs/>
              </w:rPr>
            </w:pPr>
            <w:r w:rsidRPr="00FA383A">
              <w:rPr>
                <w:rFonts w:ascii="Aptos" w:hAnsi="Aptos" w:cstheme="majorHAnsi"/>
                <w:bCs/>
              </w:rPr>
              <w:t>We propose amendment of Paragraph 146 of Part I of the First Schedule to the VAT Act as follows:</w:t>
            </w:r>
          </w:p>
          <w:p w14:paraId="5305A710" w14:textId="77777777" w:rsidR="00A47F5B" w:rsidRPr="00FA383A" w:rsidRDefault="00A47F5B" w:rsidP="00A47F5B">
            <w:pPr>
              <w:jc w:val="both"/>
              <w:rPr>
                <w:rFonts w:ascii="Aptos" w:hAnsi="Aptos" w:cstheme="majorHAnsi"/>
                <w:bCs/>
              </w:rPr>
            </w:pPr>
          </w:p>
          <w:p w14:paraId="1AE6FFEF" w14:textId="77777777" w:rsidR="00A47F5B" w:rsidRPr="00FA383A" w:rsidRDefault="00A47F5B" w:rsidP="00A47F5B">
            <w:pPr>
              <w:jc w:val="both"/>
              <w:rPr>
                <w:rFonts w:ascii="Aptos" w:hAnsi="Aptos" w:cstheme="majorHAnsi"/>
                <w:bCs/>
              </w:rPr>
            </w:pPr>
            <w:r w:rsidRPr="00FA383A">
              <w:rPr>
                <w:rFonts w:ascii="Aptos" w:hAnsi="Aptos" w:cstheme="majorHAnsi"/>
                <w:bCs/>
              </w:rPr>
              <w:t>Deleting the proviso and replacing it with a new proviso which reads as follows:</w:t>
            </w:r>
          </w:p>
          <w:p w14:paraId="2AF5359D" w14:textId="77777777" w:rsidR="00A47F5B" w:rsidRPr="00FA383A" w:rsidRDefault="00A47F5B" w:rsidP="00A47F5B">
            <w:pPr>
              <w:jc w:val="both"/>
              <w:rPr>
                <w:rFonts w:ascii="Aptos" w:hAnsi="Aptos" w:cstheme="majorHAnsi"/>
                <w:bCs/>
              </w:rPr>
            </w:pPr>
          </w:p>
          <w:p w14:paraId="1C168DF2" w14:textId="77777777" w:rsidR="00A47F5B" w:rsidRPr="00FA383A" w:rsidRDefault="00A47F5B" w:rsidP="00A47F5B">
            <w:pPr>
              <w:jc w:val="both"/>
              <w:rPr>
                <w:rFonts w:ascii="Aptos" w:hAnsi="Aptos" w:cstheme="majorHAnsi"/>
                <w:bCs/>
              </w:rPr>
            </w:pPr>
            <w:r w:rsidRPr="00FA383A">
              <w:rPr>
                <w:rFonts w:ascii="Aptos" w:hAnsi="Aptos" w:cstheme="majorHAnsi"/>
                <w:bCs/>
                <w:i/>
                <w:iCs/>
              </w:rPr>
              <w:t>“Provided that the value of such investment is not less than two billion shillings, and the exemption was granted before 27</w:t>
            </w:r>
            <w:r w:rsidRPr="00FA383A">
              <w:rPr>
                <w:rFonts w:ascii="Aptos" w:hAnsi="Aptos" w:cstheme="majorHAnsi"/>
                <w:bCs/>
                <w:i/>
                <w:iCs/>
                <w:vertAlign w:val="superscript"/>
              </w:rPr>
              <w:t>th</w:t>
            </w:r>
            <w:r w:rsidRPr="00FA383A">
              <w:rPr>
                <w:rFonts w:ascii="Aptos" w:hAnsi="Aptos" w:cstheme="majorHAnsi"/>
                <w:bCs/>
                <w:i/>
                <w:iCs/>
              </w:rPr>
              <w:t xml:space="preserve"> December 2024 and shall continue to apply for twelve months from 27</w:t>
            </w:r>
            <w:r w:rsidRPr="00FA383A">
              <w:rPr>
                <w:rFonts w:ascii="Aptos" w:hAnsi="Aptos" w:cstheme="majorHAnsi"/>
                <w:bCs/>
                <w:i/>
                <w:iCs/>
                <w:vertAlign w:val="superscript"/>
              </w:rPr>
              <w:t>th</w:t>
            </w:r>
            <w:r w:rsidRPr="00FA383A">
              <w:rPr>
                <w:rFonts w:ascii="Aptos" w:hAnsi="Aptos" w:cstheme="majorHAnsi"/>
                <w:bCs/>
                <w:i/>
                <w:iCs/>
              </w:rPr>
              <w:t xml:space="preserve"> December 2024”</w:t>
            </w:r>
            <w:r w:rsidRPr="00FA383A">
              <w:rPr>
                <w:rFonts w:ascii="Aptos" w:hAnsi="Aptos" w:cstheme="majorHAnsi"/>
                <w:bCs/>
              </w:rPr>
              <w:t>.</w:t>
            </w:r>
          </w:p>
          <w:p w14:paraId="17ABA7B4" w14:textId="77777777" w:rsidR="00A47F5B" w:rsidRPr="0051157C" w:rsidRDefault="00A47F5B" w:rsidP="00A47F5B">
            <w:pPr>
              <w:jc w:val="both"/>
              <w:rPr>
                <w:rFonts w:ascii="Aptos" w:hAnsi="Aptos" w:cstheme="majorHAnsi"/>
                <w:bCs/>
              </w:rPr>
            </w:pPr>
          </w:p>
        </w:tc>
        <w:tc>
          <w:tcPr>
            <w:tcW w:w="4334" w:type="dxa"/>
          </w:tcPr>
          <w:p w14:paraId="24800DAF" w14:textId="77777777" w:rsidR="00A47F5B" w:rsidRPr="00A63752" w:rsidRDefault="00A47F5B" w:rsidP="00A47F5B">
            <w:pPr>
              <w:spacing w:line="240" w:lineRule="exact"/>
              <w:rPr>
                <w:rFonts w:ascii="Aptos" w:hAnsi="Aptos" w:cs="Calibri Light"/>
              </w:rPr>
            </w:pPr>
            <w:r w:rsidRPr="00A63752">
              <w:rPr>
                <w:rFonts w:ascii="Aptos" w:hAnsi="Aptos" w:cs="Calibri Light"/>
              </w:rPr>
              <w:t>Paragraph 146 of Part I of the First Schedule to the VAT Act reads as:</w:t>
            </w:r>
          </w:p>
          <w:p w14:paraId="5F99B8A1" w14:textId="77777777" w:rsidR="00A47F5B" w:rsidRPr="00A63752" w:rsidRDefault="00A47F5B" w:rsidP="00A47F5B">
            <w:pPr>
              <w:spacing w:line="240" w:lineRule="exact"/>
              <w:rPr>
                <w:rFonts w:ascii="Aptos" w:hAnsi="Aptos" w:cs="Calibri Light"/>
              </w:rPr>
            </w:pPr>
          </w:p>
          <w:p w14:paraId="274CF253" w14:textId="77777777" w:rsidR="00A47F5B" w:rsidRPr="00A63752" w:rsidRDefault="00A47F5B" w:rsidP="00A47F5B">
            <w:pPr>
              <w:spacing w:line="240" w:lineRule="exact"/>
              <w:rPr>
                <w:rFonts w:ascii="Aptos" w:hAnsi="Aptos" w:cs="Calibri Light"/>
                <w:i/>
                <w:iCs/>
              </w:rPr>
            </w:pPr>
            <w:r w:rsidRPr="00A63752">
              <w:rPr>
                <w:rFonts w:ascii="Aptos" w:hAnsi="Aptos" w:cs="Calibri Light"/>
                <w:i/>
                <w:iCs/>
              </w:rPr>
              <w:t>146. Such capital goods the exemption of which the Cabinet Secretary may determine to promote investment in the manufacturing sector:</w:t>
            </w:r>
          </w:p>
          <w:p w14:paraId="4DF91AF7" w14:textId="77777777" w:rsidR="00A47F5B" w:rsidRPr="00A63752" w:rsidRDefault="00A47F5B" w:rsidP="00A47F5B">
            <w:pPr>
              <w:spacing w:line="240" w:lineRule="exact"/>
              <w:rPr>
                <w:rFonts w:ascii="Aptos" w:hAnsi="Aptos" w:cs="Calibri Light"/>
                <w:i/>
                <w:iCs/>
              </w:rPr>
            </w:pPr>
          </w:p>
          <w:p w14:paraId="688C5423" w14:textId="77777777" w:rsidR="00A47F5B" w:rsidRPr="00A63752" w:rsidRDefault="00A47F5B" w:rsidP="00A47F5B">
            <w:pPr>
              <w:spacing w:line="240" w:lineRule="exact"/>
              <w:rPr>
                <w:rFonts w:ascii="Aptos" w:hAnsi="Aptos" w:cs="Calibri Light"/>
              </w:rPr>
            </w:pPr>
            <w:r w:rsidRPr="00A63752">
              <w:rPr>
                <w:rFonts w:ascii="Aptos" w:hAnsi="Aptos" w:cs="Calibri Light"/>
                <w:i/>
                <w:iCs/>
              </w:rPr>
              <w:t xml:space="preserve">Provided that the value of such investment is not less than two billion shillings, </w:t>
            </w:r>
            <w:r w:rsidRPr="00A63752">
              <w:rPr>
                <w:rFonts w:ascii="Aptos" w:hAnsi="Aptos" w:cs="Calibri Light"/>
                <w:b/>
                <w:bCs/>
                <w:i/>
                <w:iCs/>
                <w:u w:val="single"/>
              </w:rPr>
              <w:t>and the exemption was granted before 1</w:t>
            </w:r>
            <w:r w:rsidRPr="00A63752">
              <w:rPr>
                <w:rFonts w:ascii="Aptos" w:hAnsi="Aptos" w:cs="Calibri Light"/>
                <w:b/>
                <w:bCs/>
                <w:i/>
                <w:iCs/>
                <w:u w:val="single"/>
                <w:vertAlign w:val="superscript"/>
              </w:rPr>
              <w:t>st</w:t>
            </w:r>
            <w:r w:rsidRPr="00A63752">
              <w:rPr>
                <w:rFonts w:ascii="Aptos" w:hAnsi="Aptos" w:cs="Calibri Light"/>
                <w:b/>
                <w:bCs/>
                <w:i/>
                <w:iCs/>
                <w:u w:val="single"/>
              </w:rPr>
              <w:t xml:space="preserve"> January 2024 and shall continue to apply for twelve months after this date</w:t>
            </w:r>
            <w:r w:rsidRPr="00A63752">
              <w:rPr>
                <w:rFonts w:ascii="Aptos" w:hAnsi="Aptos" w:cs="Calibri Light"/>
              </w:rPr>
              <w:t>.</w:t>
            </w:r>
          </w:p>
          <w:p w14:paraId="6A84BDD2" w14:textId="77777777" w:rsidR="00A47F5B" w:rsidRPr="00A63752" w:rsidRDefault="00A47F5B" w:rsidP="00A47F5B">
            <w:pPr>
              <w:spacing w:line="240" w:lineRule="exact"/>
              <w:rPr>
                <w:rFonts w:ascii="Aptos" w:hAnsi="Aptos" w:cs="Calibri Light"/>
              </w:rPr>
            </w:pPr>
          </w:p>
          <w:p w14:paraId="01730BD7" w14:textId="77777777" w:rsidR="00A47F5B" w:rsidRPr="00A63752" w:rsidRDefault="00A47F5B" w:rsidP="00A47F5B">
            <w:pPr>
              <w:spacing w:line="240" w:lineRule="exact"/>
              <w:rPr>
                <w:rFonts w:ascii="Aptos" w:hAnsi="Aptos" w:cs="Calibri Light"/>
              </w:rPr>
            </w:pPr>
            <w:r w:rsidRPr="00A63752">
              <w:rPr>
                <w:rFonts w:ascii="Aptos" w:hAnsi="Aptos" w:cs="Calibri Light"/>
              </w:rPr>
              <w:t xml:space="preserve">Please note that the underlined part of the proviso was introduced by Tax Laws Amendment Act, 2024 (TLAA) on 27 December 2024. </w:t>
            </w:r>
          </w:p>
          <w:p w14:paraId="3599F5D2" w14:textId="77777777" w:rsidR="00A47F5B" w:rsidRPr="00A63752" w:rsidRDefault="00A47F5B" w:rsidP="00A47F5B">
            <w:pPr>
              <w:spacing w:line="240" w:lineRule="exact"/>
              <w:rPr>
                <w:rFonts w:ascii="Aptos" w:hAnsi="Aptos" w:cs="Calibri Light"/>
              </w:rPr>
            </w:pPr>
          </w:p>
          <w:p w14:paraId="6E785467" w14:textId="77777777" w:rsidR="00A47F5B" w:rsidRPr="00A63752" w:rsidRDefault="00A47F5B" w:rsidP="00A47F5B">
            <w:pPr>
              <w:spacing w:line="240" w:lineRule="exact"/>
              <w:rPr>
                <w:rFonts w:ascii="Aptos" w:hAnsi="Aptos" w:cs="Calibri Light"/>
              </w:rPr>
            </w:pPr>
            <w:r w:rsidRPr="00A63752">
              <w:rPr>
                <w:rFonts w:ascii="Aptos" w:hAnsi="Aptos" w:cs="Calibri Light"/>
              </w:rPr>
              <w:t>The TLAA sought to introduce a transitional proviso to this Paragraph to allow taxpayers who had been granted VAT exemption on capital goods to continue benefiting from the VAT exemption for a period of 1 year from the date of amendment of the provision.</w:t>
            </w:r>
          </w:p>
          <w:p w14:paraId="194AD3EE" w14:textId="77777777" w:rsidR="00A47F5B" w:rsidRPr="00A63752" w:rsidRDefault="00A47F5B" w:rsidP="00A47F5B">
            <w:pPr>
              <w:spacing w:line="240" w:lineRule="exact"/>
              <w:rPr>
                <w:rFonts w:ascii="Aptos" w:hAnsi="Aptos" w:cs="Calibri Light"/>
              </w:rPr>
            </w:pPr>
          </w:p>
          <w:p w14:paraId="2FD23FF7" w14:textId="3E4834BE" w:rsidR="00A47F5B" w:rsidRPr="00A63752" w:rsidRDefault="00A47F5B" w:rsidP="00A47F5B">
            <w:pPr>
              <w:spacing w:line="240" w:lineRule="exact"/>
              <w:rPr>
                <w:rFonts w:ascii="Aptos" w:hAnsi="Aptos" w:cs="Calibri Light"/>
              </w:rPr>
            </w:pPr>
            <w:r w:rsidRPr="00A63752">
              <w:rPr>
                <w:rFonts w:ascii="Aptos" w:hAnsi="Aptos" w:cs="Calibri Light"/>
              </w:rPr>
              <w:t>However, as currently drafted there is no transition period since the TLAA came into effect on 27 December 2024, yet the proviso indicates the transition period to be a twelve-months period from 1st January 2024. This renders the transitional period nugatory, which could not have been the intention of the legislature.</w:t>
            </w:r>
          </w:p>
          <w:p w14:paraId="2F4D68E0" w14:textId="2FECAFF0" w:rsidR="00A47F5B" w:rsidRPr="00A63752" w:rsidRDefault="00A47F5B" w:rsidP="00A47F5B">
            <w:pPr>
              <w:jc w:val="both"/>
              <w:rPr>
                <w:rFonts w:ascii="Aptos" w:hAnsi="Aptos" w:cstheme="majorHAnsi"/>
                <w:bCs/>
              </w:rPr>
            </w:pPr>
            <w:r w:rsidRPr="00A63752">
              <w:rPr>
                <w:rFonts w:ascii="Aptos" w:hAnsi="Aptos" w:cs="Calibri Light"/>
              </w:rPr>
              <w:lastRenderedPageBreak/>
              <w:t>Our proposal will correct the drafting error included in the TLAA and allow taxpayers who were genuinely granted the exemption before 27 December 2024 to utilize them during the transition period.</w:t>
            </w:r>
          </w:p>
        </w:tc>
      </w:tr>
      <w:tr w:rsidR="00A47F5B" w:rsidRPr="0051157C" w14:paraId="4537A35D" w14:textId="77777777" w:rsidTr="00C274B7">
        <w:tc>
          <w:tcPr>
            <w:tcW w:w="14454" w:type="dxa"/>
            <w:gridSpan w:val="4"/>
          </w:tcPr>
          <w:p w14:paraId="328F7992" w14:textId="4C43C279" w:rsidR="00A47F5B" w:rsidRPr="0051157C" w:rsidRDefault="00A47F5B" w:rsidP="00E9775B">
            <w:pPr>
              <w:pStyle w:val="ListParagraph"/>
              <w:numPr>
                <w:ilvl w:val="0"/>
                <w:numId w:val="2"/>
              </w:numPr>
              <w:jc w:val="center"/>
              <w:rPr>
                <w:rFonts w:ascii="Aptos" w:hAnsi="Aptos" w:cstheme="majorHAnsi"/>
                <w:bCs/>
              </w:rPr>
            </w:pPr>
            <w:r w:rsidRPr="0051157C">
              <w:rPr>
                <w:rFonts w:ascii="Aptos" w:hAnsi="Aptos" w:cstheme="minorHAnsi"/>
                <w:b/>
              </w:rPr>
              <w:lastRenderedPageBreak/>
              <w:t>Tax administration</w:t>
            </w:r>
          </w:p>
        </w:tc>
      </w:tr>
      <w:tr w:rsidR="00A47F5B" w:rsidRPr="0051157C" w14:paraId="7FAC6A99" w14:textId="77777777" w:rsidTr="009A3429">
        <w:tc>
          <w:tcPr>
            <w:tcW w:w="535" w:type="dxa"/>
          </w:tcPr>
          <w:p w14:paraId="435B6D58" w14:textId="6B8B7DD1" w:rsidR="00A47F5B" w:rsidRPr="0051157C" w:rsidRDefault="00A47F5B" w:rsidP="00A47F5B">
            <w:pPr>
              <w:jc w:val="both"/>
              <w:rPr>
                <w:rFonts w:ascii="Aptos" w:hAnsi="Aptos" w:cstheme="minorHAnsi"/>
                <w:b/>
              </w:rPr>
            </w:pPr>
            <w:r w:rsidRPr="0051157C">
              <w:rPr>
                <w:rFonts w:ascii="Aptos" w:hAnsi="Aptos" w:cstheme="minorHAnsi"/>
                <w:b/>
              </w:rPr>
              <w:t>1.</w:t>
            </w:r>
          </w:p>
        </w:tc>
        <w:tc>
          <w:tcPr>
            <w:tcW w:w="1949" w:type="dxa"/>
          </w:tcPr>
          <w:p w14:paraId="6DFBAC08" w14:textId="77777777" w:rsidR="00A47F5B" w:rsidRPr="0051157C" w:rsidRDefault="00A47F5B" w:rsidP="00A47F5B">
            <w:pPr>
              <w:rPr>
                <w:rFonts w:ascii="Aptos" w:hAnsi="Aptos" w:cstheme="minorHAnsi"/>
                <w:b/>
              </w:rPr>
            </w:pPr>
            <w:r w:rsidRPr="0051157C">
              <w:rPr>
                <w:rFonts w:ascii="Aptos" w:hAnsi="Aptos" w:cstheme="minorHAnsi"/>
                <w:b/>
              </w:rPr>
              <w:t>Clause 42(v)</w:t>
            </w:r>
          </w:p>
          <w:p w14:paraId="06E5FC69" w14:textId="77777777" w:rsidR="00A47F5B" w:rsidRPr="0051157C" w:rsidRDefault="00A47F5B" w:rsidP="00A47F5B">
            <w:pPr>
              <w:rPr>
                <w:rFonts w:ascii="Aptos" w:hAnsi="Aptos" w:cstheme="minorHAnsi"/>
                <w:b/>
              </w:rPr>
            </w:pPr>
          </w:p>
          <w:p w14:paraId="257EB1F2" w14:textId="0BD19D41" w:rsidR="00A47F5B" w:rsidRPr="0051157C" w:rsidRDefault="00A47F5B" w:rsidP="00A47F5B">
            <w:pPr>
              <w:rPr>
                <w:rFonts w:ascii="Aptos" w:hAnsi="Aptos" w:cstheme="minorHAnsi"/>
                <w:b/>
              </w:rPr>
            </w:pPr>
            <w:r w:rsidRPr="0051157C">
              <w:rPr>
                <w:rFonts w:ascii="Aptos" w:hAnsi="Aptos" w:cstheme="minorHAnsi"/>
                <w:b/>
              </w:rPr>
              <w:t>Agency notices</w:t>
            </w:r>
          </w:p>
        </w:tc>
        <w:tc>
          <w:tcPr>
            <w:tcW w:w="7636" w:type="dxa"/>
          </w:tcPr>
          <w:p w14:paraId="19092EBF" w14:textId="540F9C2E" w:rsidR="00A47F5B" w:rsidRPr="0051157C" w:rsidRDefault="00A47F5B" w:rsidP="00A47F5B">
            <w:pPr>
              <w:rPr>
                <w:rFonts w:ascii="Aptos" w:hAnsi="Aptos" w:cstheme="majorHAnsi"/>
                <w:bCs/>
              </w:rPr>
            </w:pPr>
            <w:r w:rsidRPr="0051157C">
              <w:rPr>
                <w:rFonts w:ascii="Aptos" w:hAnsi="Aptos" w:cstheme="majorHAnsi"/>
                <w:bCs/>
              </w:rPr>
              <w:t>Clause 42(v) of the Bill proposes to amend Section 42 of the Tax Procedures Act, Cap. 469B Laws of Kenya (“</w:t>
            </w:r>
            <w:r w:rsidRPr="0051157C">
              <w:rPr>
                <w:rFonts w:ascii="Aptos" w:hAnsi="Aptos" w:cstheme="majorHAnsi"/>
                <w:b/>
              </w:rPr>
              <w:t>TPA</w:t>
            </w:r>
            <w:r w:rsidRPr="0051157C">
              <w:rPr>
                <w:rFonts w:ascii="Aptos" w:hAnsi="Aptos" w:cstheme="majorHAnsi"/>
                <w:bCs/>
              </w:rPr>
              <w:t>”) to allow the Commissioner to issue an agency notice where a taxpayer has appealed against an assessment specified in a decision of the Tax Appeals Tribunal (“</w:t>
            </w:r>
            <w:r w:rsidRPr="0051157C">
              <w:rPr>
                <w:rFonts w:ascii="Aptos" w:hAnsi="Aptos" w:cstheme="majorHAnsi"/>
                <w:b/>
              </w:rPr>
              <w:t>TAT</w:t>
            </w:r>
            <w:r w:rsidRPr="0051157C">
              <w:rPr>
                <w:rFonts w:ascii="Aptos" w:hAnsi="Aptos" w:cstheme="majorHAnsi"/>
                <w:bCs/>
              </w:rPr>
              <w:t>”) or court of law.</w:t>
            </w:r>
          </w:p>
          <w:p w14:paraId="1D47E41F" w14:textId="77777777" w:rsidR="00A47F5B" w:rsidRPr="0051157C" w:rsidRDefault="00A47F5B" w:rsidP="00A47F5B">
            <w:pPr>
              <w:rPr>
                <w:rFonts w:ascii="Aptos" w:hAnsi="Aptos" w:cstheme="majorHAnsi"/>
                <w:bCs/>
              </w:rPr>
            </w:pPr>
          </w:p>
          <w:p w14:paraId="2FED449A" w14:textId="5BA48638" w:rsidR="00A47F5B" w:rsidRPr="0051157C" w:rsidRDefault="00A47F5B" w:rsidP="00A47F5B">
            <w:pPr>
              <w:rPr>
                <w:rFonts w:ascii="Aptos" w:hAnsi="Aptos" w:cstheme="majorHAnsi"/>
                <w:bCs/>
              </w:rPr>
            </w:pPr>
            <w:r w:rsidRPr="0051157C">
              <w:rPr>
                <w:rFonts w:ascii="Aptos" w:hAnsi="Aptos" w:cstheme="majorHAnsi"/>
                <w:bCs/>
              </w:rPr>
              <w:t>We recommend the deletion of this proposal in its entirety</w:t>
            </w:r>
            <w:r>
              <w:rPr>
                <w:rFonts w:ascii="Aptos" w:hAnsi="Aptos" w:cstheme="majorHAnsi"/>
                <w:bCs/>
              </w:rPr>
              <w:t xml:space="preserve"> as it will lead to untold financial burden on taxpayers</w:t>
            </w:r>
            <w:r w:rsidRPr="0051157C">
              <w:rPr>
                <w:rFonts w:ascii="Aptos" w:hAnsi="Aptos" w:cstheme="majorHAnsi"/>
                <w:bCs/>
              </w:rPr>
              <w:t>.</w:t>
            </w:r>
          </w:p>
          <w:p w14:paraId="087D56C0" w14:textId="4B399CA1" w:rsidR="00A47F5B" w:rsidRPr="0051157C" w:rsidRDefault="00A47F5B" w:rsidP="00A47F5B">
            <w:pPr>
              <w:rPr>
                <w:rFonts w:ascii="Aptos" w:hAnsi="Aptos" w:cstheme="majorHAnsi"/>
                <w:bCs/>
              </w:rPr>
            </w:pPr>
          </w:p>
        </w:tc>
        <w:tc>
          <w:tcPr>
            <w:tcW w:w="4334" w:type="dxa"/>
          </w:tcPr>
          <w:p w14:paraId="6BEF3664" w14:textId="657C7B18" w:rsidR="00A47F5B" w:rsidRPr="00210E96" w:rsidRDefault="00A47F5B" w:rsidP="00A47F5B">
            <w:pPr>
              <w:rPr>
                <w:rFonts w:ascii="Aptos" w:hAnsi="Aptos" w:cstheme="majorHAnsi"/>
                <w:bCs/>
              </w:rPr>
            </w:pPr>
            <w:r w:rsidRPr="00210E96">
              <w:rPr>
                <w:rFonts w:ascii="Aptos" w:hAnsi="Aptos" w:cstheme="majorHAnsi"/>
                <w:bCs/>
              </w:rPr>
              <w:t>If enacted into law, this proposal will empower the Commissioner to enforce adverse judgements against taxpayers through agency notices, even in cases where an appeal has been filed at higher courts.</w:t>
            </w:r>
          </w:p>
          <w:p w14:paraId="53068181" w14:textId="77777777" w:rsidR="00A47F5B" w:rsidRPr="00210E96" w:rsidRDefault="00A47F5B" w:rsidP="00A47F5B">
            <w:pPr>
              <w:rPr>
                <w:rFonts w:ascii="Aptos" w:hAnsi="Aptos" w:cstheme="majorHAnsi"/>
                <w:bCs/>
              </w:rPr>
            </w:pPr>
          </w:p>
          <w:p w14:paraId="3BA31059" w14:textId="1BD5B7E1" w:rsidR="00A47F5B" w:rsidRPr="00210E96" w:rsidRDefault="00A47F5B" w:rsidP="00A47F5B">
            <w:pPr>
              <w:rPr>
                <w:rFonts w:ascii="Aptos" w:hAnsi="Aptos" w:cstheme="majorHAnsi"/>
                <w:bCs/>
              </w:rPr>
            </w:pPr>
            <w:r w:rsidRPr="00210E96">
              <w:rPr>
                <w:rFonts w:ascii="Aptos" w:hAnsi="Aptos" w:cstheme="majorHAnsi"/>
                <w:bCs/>
              </w:rPr>
              <w:t xml:space="preserve">This would be a negative development in our view, which would not only result into unnecessary cashflow problems for taxpayers, but also threaten taxpayers’ rights to access to justice and a fair trial. There is also the risk of encouraging </w:t>
            </w:r>
            <w:r>
              <w:rPr>
                <w:rFonts w:ascii="Aptos" w:hAnsi="Aptos" w:cstheme="majorHAnsi"/>
                <w:bCs/>
              </w:rPr>
              <w:t>unreasonably inflated</w:t>
            </w:r>
            <w:r w:rsidRPr="00210E96">
              <w:rPr>
                <w:rFonts w:ascii="Aptos" w:hAnsi="Aptos" w:cstheme="majorHAnsi"/>
                <w:bCs/>
              </w:rPr>
              <w:t xml:space="preserve"> assessments from the Commissioner as witnessed in jurisdictions which have adopted the ‘pay first, argue later’ policy.</w:t>
            </w:r>
          </w:p>
          <w:p w14:paraId="79B7020B" w14:textId="77777777" w:rsidR="00A47F5B" w:rsidRPr="00210E96" w:rsidRDefault="00A47F5B" w:rsidP="00A47F5B">
            <w:pPr>
              <w:rPr>
                <w:rFonts w:ascii="Aptos" w:hAnsi="Aptos" w:cstheme="majorHAnsi"/>
                <w:bCs/>
              </w:rPr>
            </w:pPr>
          </w:p>
          <w:p w14:paraId="7CD6466B" w14:textId="557C355E" w:rsidR="00A47F5B" w:rsidRDefault="00A47F5B" w:rsidP="00A47F5B">
            <w:pPr>
              <w:rPr>
                <w:rFonts w:ascii="Aptos" w:hAnsi="Aptos" w:cstheme="majorHAnsi"/>
                <w:bCs/>
              </w:rPr>
            </w:pPr>
            <w:r w:rsidRPr="00210E96">
              <w:rPr>
                <w:rFonts w:ascii="Aptos" w:hAnsi="Aptos" w:cstheme="majorHAnsi"/>
                <w:bCs/>
              </w:rPr>
              <w:t>There is also the challenge of recovering money collected by the Kenya Revenue Authority (“</w:t>
            </w:r>
            <w:r w:rsidRPr="00210E96">
              <w:rPr>
                <w:rFonts w:ascii="Aptos" w:hAnsi="Aptos" w:cstheme="majorHAnsi"/>
                <w:b/>
                <w:bCs/>
              </w:rPr>
              <w:t>KRA</w:t>
            </w:r>
            <w:r w:rsidRPr="00210E96">
              <w:rPr>
                <w:rFonts w:ascii="Aptos" w:hAnsi="Aptos" w:cstheme="majorHAnsi"/>
                <w:bCs/>
              </w:rPr>
              <w:t xml:space="preserve">”) should the taxpayers’ appeals prevail in court. Due to the existing administrative inefficiencies and cashflow limitations, obtaining refunds from the KRA is problematic. </w:t>
            </w:r>
            <w:r>
              <w:rPr>
                <w:rFonts w:ascii="Aptos" w:hAnsi="Aptos" w:cstheme="majorHAnsi"/>
                <w:bCs/>
              </w:rPr>
              <w:t xml:space="preserve">If passed, this proposal </w:t>
            </w:r>
            <w:r>
              <w:rPr>
                <w:rFonts w:ascii="Aptos" w:hAnsi="Aptos" w:cstheme="majorHAnsi"/>
                <w:bCs/>
              </w:rPr>
              <w:lastRenderedPageBreak/>
              <w:t xml:space="preserve">would increase the refunds budget which the Government is currently trying to reduce. </w:t>
            </w:r>
            <w:r w:rsidRPr="00210E96">
              <w:rPr>
                <w:rFonts w:ascii="Aptos" w:hAnsi="Aptos" w:cstheme="majorHAnsi"/>
                <w:bCs/>
              </w:rPr>
              <w:t>The government should therefore consider dropping this proposal from the Bill.</w:t>
            </w:r>
          </w:p>
          <w:p w14:paraId="718895EF" w14:textId="77777777" w:rsidR="00A47F5B" w:rsidRPr="00210E96" w:rsidRDefault="00A47F5B" w:rsidP="00A47F5B">
            <w:pPr>
              <w:rPr>
                <w:rFonts w:ascii="Aptos" w:hAnsi="Aptos" w:cstheme="majorHAnsi"/>
                <w:bCs/>
              </w:rPr>
            </w:pPr>
          </w:p>
          <w:p w14:paraId="1062D24B" w14:textId="636A45DC" w:rsidR="00A47F5B" w:rsidRDefault="00A47F5B" w:rsidP="00A47F5B">
            <w:pPr>
              <w:rPr>
                <w:rFonts w:ascii="Aptos" w:hAnsi="Aptos" w:cstheme="majorHAnsi"/>
                <w:bCs/>
              </w:rPr>
            </w:pPr>
            <w:r w:rsidRPr="00210E96">
              <w:rPr>
                <w:rFonts w:ascii="Aptos" w:hAnsi="Aptos" w:cstheme="majorHAnsi"/>
                <w:bCs/>
              </w:rPr>
              <w:t>It</w:t>
            </w:r>
            <w:r>
              <w:rPr>
                <w:rFonts w:ascii="Aptos" w:hAnsi="Aptos" w:cstheme="majorHAnsi"/>
                <w:bCs/>
              </w:rPr>
              <w:t xml:space="preserve"> is</w:t>
            </w:r>
            <w:r w:rsidRPr="00210E96">
              <w:rPr>
                <w:rFonts w:ascii="Aptos" w:hAnsi="Aptos" w:cstheme="majorHAnsi"/>
                <w:bCs/>
              </w:rPr>
              <w:t xml:space="preserve"> </w:t>
            </w:r>
            <w:r>
              <w:rPr>
                <w:rFonts w:ascii="Aptos" w:hAnsi="Aptos" w:cstheme="majorHAnsi"/>
                <w:bCs/>
              </w:rPr>
              <w:t xml:space="preserve">also </w:t>
            </w:r>
            <w:r w:rsidRPr="00210E96">
              <w:rPr>
                <w:rFonts w:ascii="Aptos" w:hAnsi="Aptos" w:cstheme="majorHAnsi"/>
                <w:bCs/>
              </w:rPr>
              <w:t>noteworthy that there is already a mechanism at the High court where a deposit can be made if the Court deems it necessary to protect revenue</w:t>
            </w:r>
            <w:r>
              <w:rPr>
                <w:rFonts w:ascii="Aptos" w:hAnsi="Aptos" w:cstheme="majorHAnsi"/>
                <w:bCs/>
              </w:rPr>
              <w:t xml:space="preserve"> and the KRA is at liberty to ask for such deposit</w:t>
            </w:r>
            <w:r w:rsidRPr="00210E96">
              <w:rPr>
                <w:rFonts w:ascii="Aptos" w:hAnsi="Aptos" w:cstheme="majorHAnsi"/>
                <w:bCs/>
              </w:rPr>
              <w:t>.</w:t>
            </w:r>
          </w:p>
          <w:p w14:paraId="4B75C251" w14:textId="7AA813ED" w:rsidR="00A47F5B" w:rsidRPr="0051157C" w:rsidRDefault="00A47F5B" w:rsidP="00A47F5B">
            <w:pPr>
              <w:rPr>
                <w:rFonts w:ascii="Aptos" w:hAnsi="Aptos" w:cstheme="majorHAnsi"/>
                <w:bCs/>
              </w:rPr>
            </w:pPr>
          </w:p>
        </w:tc>
      </w:tr>
      <w:tr w:rsidR="00A47F5B" w:rsidRPr="0051157C" w14:paraId="38C5E6C0" w14:textId="77777777" w:rsidTr="009A3429">
        <w:tc>
          <w:tcPr>
            <w:tcW w:w="535" w:type="dxa"/>
          </w:tcPr>
          <w:p w14:paraId="514564AC" w14:textId="53D9E15F" w:rsidR="00A47F5B" w:rsidRPr="0051157C" w:rsidRDefault="00A47F5B" w:rsidP="00A47F5B">
            <w:pPr>
              <w:jc w:val="both"/>
              <w:rPr>
                <w:rFonts w:ascii="Aptos" w:hAnsi="Aptos" w:cstheme="minorHAnsi"/>
                <w:b/>
              </w:rPr>
            </w:pPr>
            <w:r w:rsidRPr="0051157C">
              <w:rPr>
                <w:rFonts w:ascii="Aptos" w:hAnsi="Aptos" w:cstheme="minorHAnsi"/>
                <w:b/>
              </w:rPr>
              <w:lastRenderedPageBreak/>
              <w:t xml:space="preserve">2. </w:t>
            </w:r>
          </w:p>
        </w:tc>
        <w:tc>
          <w:tcPr>
            <w:tcW w:w="1949" w:type="dxa"/>
          </w:tcPr>
          <w:p w14:paraId="0BE28017" w14:textId="77777777" w:rsidR="00A47F5B" w:rsidRPr="0051157C" w:rsidRDefault="00A47F5B" w:rsidP="00A47F5B">
            <w:pPr>
              <w:rPr>
                <w:rFonts w:ascii="Aptos" w:hAnsi="Aptos" w:cstheme="minorHAnsi"/>
                <w:b/>
              </w:rPr>
            </w:pPr>
            <w:r w:rsidRPr="0051157C">
              <w:rPr>
                <w:rFonts w:ascii="Aptos" w:hAnsi="Aptos" w:cstheme="minorHAnsi"/>
                <w:b/>
              </w:rPr>
              <w:t>Clause 50</w:t>
            </w:r>
          </w:p>
          <w:p w14:paraId="0B58B0B3" w14:textId="77777777" w:rsidR="00A47F5B" w:rsidRPr="0051157C" w:rsidRDefault="00A47F5B" w:rsidP="00A47F5B">
            <w:pPr>
              <w:rPr>
                <w:rFonts w:ascii="Aptos" w:hAnsi="Aptos" w:cstheme="minorHAnsi"/>
                <w:b/>
              </w:rPr>
            </w:pPr>
          </w:p>
          <w:p w14:paraId="647F7B4C" w14:textId="77777777" w:rsidR="00A47F5B" w:rsidRPr="0051157C" w:rsidRDefault="00A47F5B" w:rsidP="00A47F5B">
            <w:pPr>
              <w:rPr>
                <w:rFonts w:ascii="Aptos" w:hAnsi="Aptos" w:cstheme="minorHAnsi"/>
                <w:b/>
              </w:rPr>
            </w:pPr>
            <w:r w:rsidRPr="0051157C">
              <w:rPr>
                <w:rFonts w:ascii="Aptos" w:hAnsi="Aptos" w:cstheme="minorHAnsi"/>
                <w:b/>
              </w:rPr>
              <w:t>Offset or refund of overpaid tax</w:t>
            </w:r>
          </w:p>
          <w:p w14:paraId="6E33F96B" w14:textId="77777777" w:rsidR="00A47F5B" w:rsidRPr="0051157C" w:rsidRDefault="00A47F5B" w:rsidP="00A47F5B">
            <w:pPr>
              <w:rPr>
                <w:rFonts w:ascii="Aptos" w:hAnsi="Aptos" w:cstheme="minorHAnsi"/>
                <w:b/>
              </w:rPr>
            </w:pPr>
          </w:p>
        </w:tc>
        <w:tc>
          <w:tcPr>
            <w:tcW w:w="7636" w:type="dxa"/>
          </w:tcPr>
          <w:p w14:paraId="22316A0A" w14:textId="77777777" w:rsidR="00A47F5B" w:rsidRPr="0051157C" w:rsidRDefault="00A47F5B" w:rsidP="00A47F5B">
            <w:pPr>
              <w:rPr>
                <w:rFonts w:ascii="Aptos" w:hAnsi="Aptos" w:cstheme="majorHAnsi"/>
                <w:bCs/>
              </w:rPr>
            </w:pPr>
            <w:r w:rsidRPr="0051157C">
              <w:rPr>
                <w:rFonts w:ascii="Aptos" w:hAnsi="Aptos" w:cstheme="majorHAnsi"/>
                <w:bCs/>
              </w:rPr>
              <w:t xml:space="preserve">Clause 50 of the Bill proposes to amend Section 47 of the TPA to </w:t>
            </w:r>
          </w:p>
          <w:p w14:paraId="7A4066A2" w14:textId="67C5935A" w:rsidR="00A47F5B" w:rsidRPr="0051157C" w:rsidRDefault="00A47F5B" w:rsidP="00A47F5B">
            <w:pPr>
              <w:rPr>
                <w:rFonts w:ascii="Aptos" w:hAnsi="Aptos" w:cstheme="majorHAnsi"/>
                <w:bCs/>
              </w:rPr>
            </w:pPr>
            <w:r w:rsidRPr="0051157C">
              <w:rPr>
                <w:rFonts w:ascii="Aptos" w:hAnsi="Aptos" w:cstheme="majorHAnsi"/>
                <w:bCs/>
              </w:rPr>
              <w:t>increase the timeline for the Commissioner to determine a refund or offset application from 90 days to 120 days.</w:t>
            </w:r>
          </w:p>
          <w:p w14:paraId="66FA7EEE" w14:textId="77777777" w:rsidR="00A47F5B" w:rsidRPr="0051157C" w:rsidRDefault="00A47F5B" w:rsidP="00A47F5B">
            <w:pPr>
              <w:rPr>
                <w:rFonts w:ascii="Aptos" w:hAnsi="Aptos" w:cstheme="majorHAnsi"/>
                <w:bCs/>
              </w:rPr>
            </w:pPr>
          </w:p>
          <w:p w14:paraId="50C28E20" w14:textId="77777777" w:rsidR="00A47F5B" w:rsidRPr="0051157C" w:rsidRDefault="00A47F5B" w:rsidP="00A47F5B">
            <w:pPr>
              <w:rPr>
                <w:rFonts w:ascii="Aptos" w:hAnsi="Aptos" w:cstheme="majorHAnsi"/>
                <w:bCs/>
              </w:rPr>
            </w:pPr>
            <w:r w:rsidRPr="0051157C">
              <w:rPr>
                <w:rFonts w:ascii="Aptos" w:hAnsi="Aptos" w:cstheme="majorHAnsi"/>
                <w:bCs/>
              </w:rPr>
              <w:t>We recommend the revision of this proposal to further amend subsection (3) to read as follows:</w:t>
            </w:r>
          </w:p>
          <w:p w14:paraId="0F9C9360" w14:textId="77777777" w:rsidR="00A47F5B" w:rsidRPr="0051157C" w:rsidRDefault="00A47F5B" w:rsidP="00A47F5B">
            <w:pPr>
              <w:rPr>
                <w:rFonts w:ascii="Aptos" w:hAnsi="Aptos" w:cstheme="majorHAnsi"/>
                <w:bCs/>
              </w:rPr>
            </w:pPr>
          </w:p>
          <w:p w14:paraId="4ED515AB" w14:textId="22F4C363" w:rsidR="00A47F5B" w:rsidRPr="0051157C" w:rsidRDefault="00A47F5B" w:rsidP="00A47F5B">
            <w:pPr>
              <w:rPr>
                <w:rFonts w:ascii="Aptos" w:hAnsi="Aptos" w:cstheme="majorHAnsi"/>
                <w:bCs/>
              </w:rPr>
            </w:pPr>
            <w:r w:rsidRPr="0051157C">
              <w:rPr>
                <w:rFonts w:ascii="Aptos" w:hAnsi="Aptos" w:cstheme="majorHAnsi"/>
                <w:b/>
                <w:i/>
                <w:iCs/>
              </w:rPr>
              <w:t>“(3) Where the Commissioner fails to ascertain and determine an application under subsection (1) within one hundred and twenty days, the same shall be deemed ascertained and approved.”</w:t>
            </w:r>
          </w:p>
          <w:p w14:paraId="5AF45D07" w14:textId="77777777" w:rsidR="00A47F5B" w:rsidRPr="0051157C" w:rsidRDefault="00A47F5B" w:rsidP="00A47F5B">
            <w:pPr>
              <w:rPr>
                <w:rFonts w:ascii="Aptos" w:hAnsi="Aptos" w:cstheme="majorHAnsi"/>
                <w:bCs/>
              </w:rPr>
            </w:pPr>
          </w:p>
        </w:tc>
        <w:tc>
          <w:tcPr>
            <w:tcW w:w="4334" w:type="dxa"/>
          </w:tcPr>
          <w:p w14:paraId="5BDD4120" w14:textId="58125917" w:rsidR="00A47F5B" w:rsidRPr="0051157C" w:rsidRDefault="00A47F5B" w:rsidP="00A47F5B">
            <w:pPr>
              <w:rPr>
                <w:rFonts w:ascii="Aptos" w:hAnsi="Aptos" w:cstheme="majorHAnsi"/>
                <w:bCs/>
              </w:rPr>
            </w:pPr>
            <w:r w:rsidRPr="0051157C">
              <w:rPr>
                <w:rFonts w:ascii="Aptos" w:hAnsi="Aptos" w:cstheme="majorHAnsi"/>
                <w:bCs/>
              </w:rPr>
              <w:t>Our proposed amendment aims to align the proposed increase of days for the Commissioner to determine refund applications with the safeguard provided to taxpayers in subsection (3). Specifically, subsection (3) provides the assurance that where a refund application is not determined within the statutory timelines, it is deemed to be approved.</w:t>
            </w:r>
          </w:p>
          <w:p w14:paraId="0BBFB29B" w14:textId="77777777" w:rsidR="00A47F5B" w:rsidRPr="0051157C" w:rsidRDefault="00A47F5B" w:rsidP="00A47F5B">
            <w:pPr>
              <w:rPr>
                <w:rFonts w:ascii="Aptos" w:hAnsi="Aptos" w:cstheme="majorHAnsi"/>
                <w:bCs/>
              </w:rPr>
            </w:pPr>
          </w:p>
          <w:p w14:paraId="1DD31E0D" w14:textId="77777777" w:rsidR="00A47F5B" w:rsidRDefault="00A47F5B" w:rsidP="00A47F5B">
            <w:pPr>
              <w:rPr>
                <w:rFonts w:ascii="Aptos" w:hAnsi="Aptos" w:cstheme="majorHAnsi"/>
                <w:bCs/>
              </w:rPr>
            </w:pPr>
            <w:r w:rsidRPr="0051157C">
              <w:rPr>
                <w:rFonts w:ascii="Aptos" w:hAnsi="Aptos" w:cstheme="majorHAnsi"/>
                <w:bCs/>
              </w:rPr>
              <w:t>Should subsection (3) remain unchanged, refund applications will be deemed to be automatically approved within 90 days, which would be misaligned with the proposed timelines for the Commissioner to review refund applications (120 days).</w:t>
            </w:r>
          </w:p>
          <w:p w14:paraId="6BA1C9C1" w14:textId="2706BB81" w:rsidR="00A47F5B" w:rsidRPr="0051157C" w:rsidRDefault="00A47F5B" w:rsidP="00A47F5B">
            <w:pPr>
              <w:rPr>
                <w:rFonts w:ascii="Aptos" w:hAnsi="Aptos" w:cstheme="majorHAnsi"/>
                <w:bCs/>
              </w:rPr>
            </w:pPr>
          </w:p>
        </w:tc>
      </w:tr>
      <w:tr w:rsidR="00A47F5B" w:rsidRPr="0051157C" w14:paraId="165A3340" w14:textId="77777777" w:rsidTr="009A3429">
        <w:tc>
          <w:tcPr>
            <w:tcW w:w="535" w:type="dxa"/>
          </w:tcPr>
          <w:p w14:paraId="09021304" w14:textId="75E6F983" w:rsidR="00A47F5B" w:rsidRPr="0051157C" w:rsidRDefault="00A47F5B" w:rsidP="00A47F5B">
            <w:pPr>
              <w:jc w:val="both"/>
              <w:rPr>
                <w:rFonts w:ascii="Aptos" w:hAnsi="Aptos" w:cstheme="minorHAnsi"/>
                <w:b/>
              </w:rPr>
            </w:pPr>
            <w:r w:rsidRPr="0051157C">
              <w:rPr>
                <w:rFonts w:ascii="Aptos" w:hAnsi="Aptos" w:cstheme="minorHAnsi"/>
                <w:b/>
              </w:rPr>
              <w:t>3.</w:t>
            </w:r>
          </w:p>
        </w:tc>
        <w:tc>
          <w:tcPr>
            <w:tcW w:w="1949" w:type="dxa"/>
          </w:tcPr>
          <w:p w14:paraId="09109D9F" w14:textId="77777777" w:rsidR="00A47F5B" w:rsidRPr="0051157C" w:rsidRDefault="00A47F5B" w:rsidP="00A47F5B">
            <w:pPr>
              <w:rPr>
                <w:rFonts w:ascii="Aptos" w:hAnsi="Aptos" w:cstheme="minorHAnsi"/>
                <w:b/>
              </w:rPr>
            </w:pPr>
            <w:r w:rsidRPr="0051157C">
              <w:rPr>
                <w:rFonts w:ascii="Aptos" w:hAnsi="Aptos" w:cstheme="minorHAnsi"/>
                <w:b/>
              </w:rPr>
              <w:t>Clause 52</w:t>
            </w:r>
          </w:p>
          <w:p w14:paraId="25C11426" w14:textId="77777777" w:rsidR="00A47F5B" w:rsidRPr="0051157C" w:rsidRDefault="00A47F5B" w:rsidP="00A47F5B">
            <w:pPr>
              <w:rPr>
                <w:rFonts w:ascii="Aptos" w:hAnsi="Aptos" w:cstheme="minorHAnsi"/>
                <w:b/>
              </w:rPr>
            </w:pPr>
          </w:p>
          <w:p w14:paraId="2FA023AC" w14:textId="5C12F8FD" w:rsidR="00A47F5B" w:rsidRPr="0051157C" w:rsidRDefault="00A47F5B" w:rsidP="00A47F5B">
            <w:pPr>
              <w:rPr>
                <w:rFonts w:ascii="Aptos" w:hAnsi="Aptos" w:cstheme="minorHAnsi"/>
                <w:b/>
              </w:rPr>
            </w:pPr>
            <w:r w:rsidRPr="0051157C">
              <w:rPr>
                <w:rFonts w:ascii="Aptos" w:hAnsi="Aptos" w:cstheme="minorHAnsi"/>
                <w:b/>
              </w:rPr>
              <w:lastRenderedPageBreak/>
              <w:t>Sharing of data through the data management and reporting system</w:t>
            </w:r>
          </w:p>
        </w:tc>
        <w:tc>
          <w:tcPr>
            <w:tcW w:w="7636" w:type="dxa"/>
          </w:tcPr>
          <w:p w14:paraId="375ECFBF" w14:textId="77777777" w:rsidR="00A47F5B" w:rsidRPr="0051157C" w:rsidRDefault="00A47F5B" w:rsidP="00A47F5B">
            <w:pPr>
              <w:rPr>
                <w:rFonts w:ascii="Aptos" w:hAnsi="Aptos" w:cstheme="majorHAnsi"/>
                <w:bCs/>
              </w:rPr>
            </w:pPr>
            <w:r w:rsidRPr="0051157C">
              <w:rPr>
                <w:rFonts w:ascii="Aptos" w:hAnsi="Aptos" w:cstheme="majorHAnsi"/>
                <w:bCs/>
              </w:rPr>
              <w:lastRenderedPageBreak/>
              <w:t xml:space="preserve">Clause 52 of the Bill proposes to repeal Section 59A(1B) of the TPA, which presently provides that taxpayers shall not be required to integrate or share </w:t>
            </w:r>
            <w:r w:rsidRPr="0051157C">
              <w:rPr>
                <w:rFonts w:ascii="Aptos" w:hAnsi="Aptos" w:cstheme="majorHAnsi"/>
                <w:bCs/>
              </w:rPr>
              <w:lastRenderedPageBreak/>
              <w:t>data with the Commissioner relating to trade secrets and private or personal data.</w:t>
            </w:r>
          </w:p>
          <w:p w14:paraId="09BF05FD" w14:textId="77777777" w:rsidR="00A47F5B" w:rsidRPr="0051157C" w:rsidRDefault="00A47F5B" w:rsidP="00A47F5B">
            <w:pPr>
              <w:rPr>
                <w:rFonts w:ascii="Aptos" w:hAnsi="Aptos" w:cstheme="majorHAnsi"/>
                <w:bCs/>
              </w:rPr>
            </w:pPr>
          </w:p>
          <w:p w14:paraId="00556E8A" w14:textId="77777777" w:rsidR="00A47F5B" w:rsidRPr="0051157C" w:rsidRDefault="00A47F5B" w:rsidP="00A47F5B">
            <w:pPr>
              <w:rPr>
                <w:rFonts w:ascii="Aptos" w:hAnsi="Aptos" w:cstheme="majorHAnsi"/>
                <w:bCs/>
              </w:rPr>
            </w:pPr>
            <w:r w:rsidRPr="0051157C">
              <w:rPr>
                <w:rFonts w:ascii="Aptos" w:hAnsi="Aptos" w:cstheme="majorHAnsi"/>
                <w:bCs/>
              </w:rPr>
              <w:t>We recommend the deletion of this proposal in its entirety.</w:t>
            </w:r>
          </w:p>
          <w:p w14:paraId="584124BB" w14:textId="77777777" w:rsidR="00A47F5B" w:rsidRPr="0051157C" w:rsidRDefault="00A47F5B" w:rsidP="00A47F5B">
            <w:pPr>
              <w:rPr>
                <w:rFonts w:ascii="Aptos" w:hAnsi="Aptos" w:cstheme="majorHAnsi"/>
                <w:bCs/>
              </w:rPr>
            </w:pPr>
          </w:p>
          <w:p w14:paraId="4AB9C5E1" w14:textId="02E3D3F1" w:rsidR="00A47F5B" w:rsidRPr="0051157C" w:rsidRDefault="00A47F5B" w:rsidP="00A47F5B">
            <w:pPr>
              <w:rPr>
                <w:rFonts w:ascii="Aptos" w:hAnsi="Aptos" w:cstheme="majorHAnsi"/>
                <w:bCs/>
              </w:rPr>
            </w:pPr>
            <w:r w:rsidRPr="0051157C">
              <w:rPr>
                <w:rFonts w:ascii="Aptos" w:hAnsi="Aptos" w:cstheme="majorHAnsi"/>
                <w:bCs/>
              </w:rPr>
              <w:t>In the alternative, we propose the retention of subsection (1B) but with the introduction of a new proviso to read as follows:</w:t>
            </w:r>
          </w:p>
          <w:p w14:paraId="2026CE55" w14:textId="77777777" w:rsidR="00A47F5B" w:rsidRPr="0051157C" w:rsidRDefault="00A47F5B" w:rsidP="00A47F5B">
            <w:pPr>
              <w:rPr>
                <w:rFonts w:ascii="Aptos" w:hAnsi="Aptos" w:cstheme="majorHAnsi"/>
                <w:bCs/>
              </w:rPr>
            </w:pPr>
          </w:p>
          <w:p w14:paraId="50B9A067" w14:textId="4CC79539" w:rsidR="00A47F5B" w:rsidRPr="0051157C" w:rsidRDefault="00A47F5B" w:rsidP="00A47F5B">
            <w:pPr>
              <w:rPr>
                <w:rFonts w:ascii="Aptos" w:hAnsi="Aptos" w:cstheme="majorHAnsi"/>
                <w:b/>
                <w:i/>
                <w:iCs/>
              </w:rPr>
            </w:pPr>
            <w:r w:rsidRPr="0051157C">
              <w:rPr>
                <w:rFonts w:ascii="Aptos" w:hAnsi="Aptos" w:cstheme="majorHAnsi"/>
                <w:b/>
                <w:i/>
                <w:iCs/>
              </w:rPr>
              <w:t>“Provided that any trade secrets and private or personal data shared with the Commissioner shall be handled in accordance with the provisions of any other written law in respect of intellectual property rights and data protection.”</w:t>
            </w:r>
          </w:p>
          <w:p w14:paraId="2D853F33" w14:textId="6548CB46" w:rsidR="00A47F5B" w:rsidRPr="0051157C" w:rsidRDefault="00A47F5B" w:rsidP="00A47F5B">
            <w:pPr>
              <w:rPr>
                <w:rFonts w:ascii="Aptos" w:hAnsi="Aptos" w:cstheme="majorHAnsi"/>
                <w:bCs/>
              </w:rPr>
            </w:pPr>
          </w:p>
        </w:tc>
        <w:tc>
          <w:tcPr>
            <w:tcW w:w="4334" w:type="dxa"/>
          </w:tcPr>
          <w:p w14:paraId="002FA984" w14:textId="77777777" w:rsidR="00A47F5B" w:rsidRPr="0051157C" w:rsidRDefault="00A47F5B" w:rsidP="00A47F5B">
            <w:pPr>
              <w:rPr>
                <w:rFonts w:ascii="Aptos" w:hAnsi="Aptos" w:cstheme="majorHAnsi"/>
                <w:bCs/>
              </w:rPr>
            </w:pPr>
            <w:r w:rsidRPr="0051157C">
              <w:rPr>
                <w:rFonts w:ascii="Aptos" w:hAnsi="Aptos" w:cstheme="majorHAnsi"/>
                <w:bCs/>
              </w:rPr>
              <w:lastRenderedPageBreak/>
              <w:t xml:space="preserve">The proposed amendment, if enacted into law, will imply that taxpayers who integrate </w:t>
            </w:r>
            <w:r w:rsidRPr="0051157C">
              <w:rPr>
                <w:rFonts w:ascii="Aptos" w:hAnsi="Aptos" w:cstheme="majorHAnsi"/>
                <w:bCs/>
              </w:rPr>
              <w:lastRenderedPageBreak/>
              <w:t>their systems with KRA will be required to share almost all data, including that relating to sensitive trade and personal data.</w:t>
            </w:r>
          </w:p>
          <w:p w14:paraId="368494CE" w14:textId="77777777" w:rsidR="00A47F5B" w:rsidRPr="0051157C" w:rsidRDefault="00A47F5B" w:rsidP="00A47F5B">
            <w:pPr>
              <w:rPr>
                <w:rFonts w:ascii="Aptos" w:hAnsi="Aptos" w:cstheme="majorHAnsi"/>
                <w:bCs/>
              </w:rPr>
            </w:pPr>
          </w:p>
          <w:p w14:paraId="11339BDA" w14:textId="341667E3" w:rsidR="00A47F5B" w:rsidRPr="0051157C" w:rsidRDefault="00A47F5B" w:rsidP="00A47F5B">
            <w:pPr>
              <w:rPr>
                <w:rFonts w:ascii="Aptos" w:hAnsi="Aptos" w:cstheme="majorHAnsi"/>
                <w:bCs/>
              </w:rPr>
            </w:pPr>
            <w:r w:rsidRPr="0051157C">
              <w:rPr>
                <w:rFonts w:ascii="Aptos" w:hAnsi="Aptos" w:cstheme="majorHAnsi"/>
                <w:bCs/>
              </w:rPr>
              <w:t>Due to potential data security and confidentiality breaches, we recommend that this proposal should be dropped from the Bill. In the alternative, we opine that there may be need to incorporate specific provisions in tax law that would commit the KRA to secure such data, hence our proposed introduction of a proviso to subsection 1B.</w:t>
            </w:r>
          </w:p>
          <w:p w14:paraId="6BD64677" w14:textId="2FF58C4F" w:rsidR="00A47F5B" w:rsidRPr="0051157C" w:rsidRDefault="00A47F5B" w:rsidP="00A47F5B">
            <w:pPr>
              <w:rPr>
                <w:rFonts w:ascii="Aptos" w:hAnsi="Aptos" w:cstheme="majorHAnsi"/>
                <w:bCs/>
              </w:rPr>
            </w:pPr>
          </w:p>
        </w:tc>
      </w:tr>
      <w:tr w:rsidR="00A47F5B" w:rsidRPr="0051157C" w14:paraId="7206C2EB" w14:textId="77777777" w:rsidTr="009A3429">
        <w:tc>
          <w:tcPr>
            <w:tcW w:w="535" w:type="dxa"/>
          </w:tcPr>
          <w:p w14:paraId="0D73F0CC" w14:textId="6647E6EC" w:rsidR="00A47F5B" w:rsidRPr="0051157C" w:rsidRDefault="00A47F5B" w:rsidP="00A47F5B">
            <w:pPr>
              <w:jc w:val="both"/>
              <w:rPr>
                <w:rFonts w:ascii="Aptos" w:hAnsi="Aptos" w:cstheme="minorHAnsi"/>
                <w:b/>
              </w:rPr>
            </w:pPr>
            <w:r w:rsidRPr="0051157C">
              <w:rPr>
                <w:rFonts w:ascii="Aptos" w:hAnsi="Aptos" w:cstheme="minorHAnsi"/>
                <w:b/>
              </w:rPr>
              <w:lastRenderedPageBreak/>
              <w:t>4.</w:t>
            </w:r>
          </w:p>
        </w:tc>
        <w:tc>
          <w:tcPr>
            <w:tcW w:w="1949" w:type="dxa"/>
          </w:tcPr>
          <w:p w14:paraId="74EAA8E7" w14:textId="6DEB8819" w:rsidR="00A47F5B" w:rsidRPr="0051157C" w:rsidRDefault="00A47F5B" w:rsidP="00A47F5B">
            <w:pPr>
              <w:rPr>
                <w:rFonts w:ascii="Aptos" w:hAnsi="Aptos" w:cstheme="minorHAnsi"/>
                <w:b/>
              </w:rPr>
            </w:pPr>
            <w:r w:rsidRPr="0051157C">
              <w:rPr>
                <w:rFonts w:ascii="Aptos" w:hAnsi="Aptos" w:cstheme="minorHAnsi"/>
                <w:b/>
              </w:rPr>
              <w:t>Clause 54</w:t>
            </w:r>
          </w:p>
          <w:p w14:paraId="6BA54CA2" w14:textId="77777777" w:rsidR="00A47F5B" w:rsidRPr="0051157C" w:rsidRDefault="00A47F5B" w:rsidP="00A47F5B">
            <w:pPr>
              <w:rPr>
                <w:rFonts w:ascii="Aptos" w:hAnsi="Aptos" w:cstheme="minorHAnsi"/>
                <w:b/>
              </w:rPr>
            </w:pPr>
          </w:p>
          <w:p w14:paraId="33E9859F" w14:textId="08BEBE97" w:rsidR="00A47F5B" w:rsidRPr="0051157C" w:rsidRDefault="00A47F5B" w:rsidP="00A47F5B">
            <w:pPr>
              <w:rPr>
                <w:rFonts w:ascii="Aptos" w:hAnsi="Aptos" w:cstheme="minorHAnsi"/>
                <w:b/>
              </w:rPr>
            </w:pPr>
            <w:r w:rsidRPr="0051157C">
              <w:rPr>
                <w:rFonts w:ascii="Aptos" w:hAnsi="Aptos" w:cstheme="minorHAnsi"/>
                <w:b/>
              </w:rPr>
              <w:t>Computation of time for the lodgement of objections and appeals</w:t>
            </w:r>
          </w:p>
        </w:tc>
        <w:tc>
          <w:tcPr>
            <w:tcW w:w="7636" w:type="dxa"/>
          </w:tcPr>
          <w:p w14:paraId="44EA4440" w14:textId="77777777" w:rsidR="00A47F5B" w:rsidRPr="0051157C" w:rsidRDefault="00A47F5B" w:rsidP="00A47F5B">
            <w:pPr>
              <w:rPr>
                <w:rFonts w:ascii="Aptos" w:hAnsi="Aptos" w:cstheme="majorHAnsi"/>
                <w:bCs/>
              </w:rPr>
            </w:pPr>
            <w:r w:rsidRPr="0051157C">
              <w:rPr>
                <w:rFonts w:ascii="Aptos" w:hAnsi="Aptos" w:cstheme="majorHAnsi"/>
                <w:bCs/>
              </w:rPr>
              <w:t>Clause 54 of the Bill proposes to repeal Section 77(2) of the TPA, which currently provides that in computing the period for the lodgement of appeals and objections, the computation shall not include weekends and public holidays.</w:t>
            </w:r>
          </w:p>
          <w:p w14:paraId="11AB05D8" w14:textId="77777777" w:rsidR="00A47F5B" w:rsidRPr="0051157C" w:rsidRDefault="00A47F5B" w:rsidP="00A47F5B">
            <w:pPr>
              <w:rPr>
                <w:rFonts w:ascii="Aptos" w:hAnsi="Aptos" w:cstheme="majorHAnsi"/>
                <w:bCs/>
              </w:rPr>
            </w:pPr>
          </w:p>
          <w:p w14:paraId="02BD70C8" w14:textId="77777777" w:rsidR="00A47F5B" w:rsidRDefault="00A47F5B" w:rsidP="00A47F5B">
            <w:pPr>
              <w:rPr>
                <w:rFonts w:ascii="Aptos" w:hAnsi="Aptos" w:cstheme="majorHAnsi"/>
                <w:bCs/>
              </w:rPr>
            </w:pPr>
            <w:r w:rsidRPr="0051157C">
              <w:rPr>
                <w:rFonts w:ascii="Aptos" w:hAnsi="Aptos" w:cstheme="majorHAnsi"/>
                <w:bCs/>
              </w:rPr>
              <w:t>We recommend the deletion of this proposal in its entirety.</w:t>
            </w:r>
          </w:p>
          <w:p w14:paraId="248413D3" w14:textId="77777777" w:rsidR="00A47F5B" w:rsidRDefault="00A47F5B" w:rsidP="00A47F5B">
            <w:pPr>
              <w:rPr>
                <w:rFonts w:ascii="Aptos" w:hAnsi="Aptos" w:cstheme="majorHAnsi"/>
                <w:bCs/>
              </w:rPr>
            </w:pPr>
          </w:p>
          <w:p w14:paraId="6E0ADF5E" w14:textId="16EB226A" w:rsidR="00A47F5B" w:rsidRPr="0051157C" w:rsidRDefault="00A47F5B" w:rsidP="00A47F5B">
            <w:pPr>
              <w:rPr>
                <w:rFonts w:ascii="Aptos" w:hAnsi="Aptos" w:cstheme="majorHAnsi"/>
                <w:bCs/>
              </w:rPr>
            </w:pPr>
            <w:r w:rsidRPr="0074165C">
              <w:rPr>
                <w:rFonts w:ascii="Aptos" w:hAnsi="Aptos" w:cstheme="majorHAnsi"/>
                <w:bCs/>
              </w:rPr>
              <w:t>Further, Section 77(2) should be amended to also includ</w:t>
            </w:r>
            <w:r>
              <w:rPr>
                <w:rFonts w:ascii="Aptos" w:hAnsi="Aptos" w:cstheme="majorHAnsi"/>
                <w:bCs/>
              </w:rPr>
              <w:t xml:space="preserve">e </w:t>
            </w:r>
            <w:r w:rsidRPr="0074165C">
              <w:rPr>
                <w:rFonts w:ascii="Aptos" w:hAnsi="Aptos" w:cstheme="majorHAnsi"/>
                <w:bCs/>
              </w:rPr>
              <w:t>objection decisions issued by the Commissioner</w:t>
            </w:r>
            <w:r>
              <w:rPr>
                <w:rFonts w:ascii="Aptos" w:hAnsi="Aptos" w:cstheme="majorHAnsi"/>
                <w:bCs/>
              </w:rPr>
              <w:t>.</w:t>
            </w:r>
          </w:p>
          <w:p w14:paraId="20B7F17E" w14:textId="362237D9" w:rsidR="00A47F5B" w:rsidRPr="0051157C" w:rsidRDefault="00A47F5B" w:rsidP="00A47F5B">
            <w:pPr>
              <w:rPr>
                <w:rFonts w:ascii="Aptos" w:hAnsi="Aptos" w:cstheme="majorHAnsi"/>
                <w:bCs/>
              </w:rPr>
            </w:pPr>
          </w:p>
        </w:tc>
        <w:tc>
          <w:tcPr>
            <w:tcW w:w="4334" w:type="dxa"/>
          </w:tcPr>
          <w:p w14:paraId="6D2D6D7F" w14:textId="77777777" w:rsidR="00A47F5B" w:rsidRPr="0051157C" w:rsidRDefault="00A47F5B" w:rsidP="00A47F5B">
            <w:pPr>
              <w:rPr>
                <w:rFonts w:ascii="Aptos" w:hAnsi="Aptos" w:cstheme="majorHAnsi"/>
                <w:bCs/>
              </w:rPr>
            </w:pPr>
            <w:r w:rsidRPr="0051157C">
              <w:rPr>
                <w:rFonts w:ascii="Aptos" w:hAnsi="Aptos" w:cstheme="majorHAnsi"/>
                <w:bCs/>
              </w:rPr>
              <w:t xml:space="preserve">The current Section 77(2), which excludes non-working days from the computation of time for taxpayers to lodge objections and tax appeals, was introduced into the TPA in December 2024 by the Tax Laws (Amendment) Act, 2024. </w:t>
            </w:r>
          </w:p>
          <w:p w14:paraId="478FAC49" w14:textId="77777777" w:rsidR="00A47F5B" w:rsidRPr="0051157C" w:rsidRDefault="00A47F5B" w:rsidP="00A47F5B">
            <w:pPr>
              <w:rPr>
                <w:rFonts w:ascii="Aptos" w:hAnsi="Aptos" w:cstheme="majorHAnsi"/>
                <w:bCs/>
              </w:rPr>
            </w:pPr>
          </w:p>
          <w:p w14:paraId="19FA40B8" w14:textId="43A17784" w:rsidR="00A47F5B" w:rsidRPr="0051157C" w:rsidRDefault="00A47F5B" w:rsidP="00A47F5B">
            <w:pPr>
              <w:rPr>
                <w:rFonts w:ascii="Aptos" w:hAnsi="Aptos" w:cstheme="majorHAnsi"/>
                <w:bCs/>
              </w:rPr>
            </w:pPr>
            <w:r w:rsidRPr="0051157C">
              <w:rPr>
                <w:rFonts w:ascii="Aptos" w:hAnsi="Aptos" w:cstheme="majorHAnsi"/>
                <w:bCs/>
              </w:rPr>
              <w:t>Repealing the provision less than half a year later without any apparent justification signals a lack of certainty in our tax administration regime. Such uncertainty runs against the tenets of an effective tax system and is also contrary to the policy objectives in the National Tax Policy and the Medium Term Revenue Strategy (“</w:t>
            </w:r>
            <w:r w:rsidRPr="0051157C">
              <w:rPr>
                <w:rFonts w:ascii="Aptos" w:hAnsi="Aptos" w:cstheme="majorHAnsi"/>
                <w:b/>
              </w:rPr>
              <w:t>MTRS</w:t>
            </w:r>
            <w:r w:rsidRPr="0051157C">
              <w:rPr>
                <w:rFonts w:ascii="Aptos" w:hAnsi="Aptos" w:cstheme="majorHAnsi"/>
                <w:bCs/>
              </w:rPr>
              <w:t xml:space="preserve">”), which both speak to our </w:t>
            </w:r>
            <w:r w:rsidRPr="0051157C">
              <w:rPr>
                <w:rFonts w:ascii="Aptos" w:hAnsi="Aptos" w:cstheme="majorHAnsi"/>
                <w:bCs/>
              </w:rPr>
              <w:lastRenderedPageBreak/>
              <w:t>aspiration as a nation to have a stable and predictable tax system.</w:t>
            </w:r>
          </w:p>
          <w:p w14:paraId="21EE3E34" w14:textId="77777777" w:rsidR="00A47F5B" w:rsidRPr="0051157C" w:rsidRDefault="00A47F5B" w:rsidP="00A47F5B">
            <w:pPr>
              <w:rPr>
                <w:rFonts w:ascii="Aptos" w:hAnsi="Aptos" w:cstheme="majorHAnsi"/>
                <w:bCs/>
              </w:rPr>
            </w:pPr>
          </w:p>
          <w:p w14:paraId="46FE3158" w14:textId="04EC9059" w:rsidR="00A47F5B" w:rsidRDefault="00A47F5B" w:rsidP="00A47F5B">
            <w:pPr>
              <w:rPr>
                <w:rFonts w:ascii="Aptos" w:hAnsi="Aptos" w:cstheme="majorHAnsi"/>
                <w:bCs/>
              </w:rPr>
            </w:pPr>
            <w:r w:rsidRPr="0051157C">
              <w:rPr>
                <w:rFonts w:ascii="Aptos" w:hAnsi="Aptos" w:cstheme="majorHAnsi"/>
                <w:bCs/>
              </w:rPr>
              <w:t>In addition, the exclusion of non-working days is in line with the practice in other civil disputes, as articulated in the Interpretation and General Provisions Act and in the Civil Procedure Rules. Having the same rule applying to tax disputes will therefore help harmonise the administration of justice.</w:t>
            </w:r>
          </w:p>
          <w:p w14:paraId="6207906A" w14:textId="77777777" w:rsidR="00A47F5B" w:rsidRDefault="00A47F5B" w:rsidP="00A47F5B">
            <w:pPr>
              <w:rPr>
                <w:rFonts w:ascii="Aptos" w:hAnsi="Aptos" w:cstheme="majorHAnsi"/>
                <w:bCs/>
              </w:rPr>
            </w:pPr>
          </w:p>
          <w:p w14:paraId="387B63EF" w14:textId="6D7D319A" w:rsidR="00A47F5B" w:rsidRPr="0051157C" w:rsidRDefault="00A47F5B" w:rsidP="00A47F5B">
            <w:pPr>
              <w:rPr>
                <w:rFonts w:ascii="Aptos" w:hAnsi="Aptos" w:cstheme="majorHAnsi"/>
                <w:bCs/>
              </w:rPr>
            </w:pPr>
            <w:r w:rsidRPr="007C4C9A">
              <w:rPr>
                <w:rFonts w:ascii="Aptos" w:hAnsi="Aptos" w:cstheme="majorHAnsi"/>
                <w:bCs/>
              </w:rPr>
              <w:t>The proposed amendment to include the objection decisions issued by the Commissioner will provide ample time for review of the objection and this would accelerate resolution of tax disputes since the taxpayer and the Commissioner will have more time to engage on the tax issues in dispute</w:t>
            </w:r>
            <w:r>
              <w:rPr>
                <w:rFonts w:ascii="Aptos" w:hAnsi="Aptos" w:cstheme="majorHAnsi"/>
                <w:bCs/>
              </w:rPr>
              <w:t>.</w:t>
            </w:r>
          </w:p>
          <w:p w14:paraId="4BB82240" w14:textId="52AA3106" w:rsidR="00A47F5B" w:rsidRPr="0051157C" w:rsidRDefault="00A47F5B" w:rsidP="00A47F5B">
            <w:pPr>
              <w:rPr>
                <w:rFonts w:ascii="Aptos" w:hAnsi="Aptos" w:cstheme="majorHAnsi"/>
                <w:bCs/>
              </w:rPr>
            </w:pPr>
          </w:p>
        </w:tc>
      </w:tr>
      <w:tr w:rsidR="00A47F5B" w:rsidRPr="0051157C" w14:paraId="1887F292" w14:textId="77777777" w:rsidTr="001E35D3">
        <w:tc>
          <w:tcPr>
            <w:tcW w:w="14454" w:type="dxa"/>
            <w:gridSpan w:val="4"/>
          </w:tcPr>
          <w:p w14:paraId="0D4E866E" w14:textId="15FF5FF6" w:rsidR="00A47F5B" w:rsidRPr="0051157C" w:rsidRDefault="00A47F5B" w:rsidP="00A47F5B">
            <w:pPr>
              <w:rPr>
                <w:rFonts w:ascii="Aptos" w:hAnsi="Aptos" w:cstheme="minorHAnsi"/>
                <w:b/>
                <w:bCs/>
              </w:rPr>
            </w:pPr>
            <w:r w:rsidRPr="0051157C">
              <w:rPr>
                <w:rFonts w:ascii="Aptos" w:hAnsi="Aptos" w:cstheme="minorHAnsi"/>
                <w:b/>
                <w:bCs/>
              </w:rPr>
              <w:lastRenderedPageBreak/>
              <w:t>Proposals not in the Bill</w:t>
            </w:r>
          </w:p>
        </w:tc>
      </w:tr>
      <w:tr w:rsidR="00A47F5B" w:rsidRPr="0051157C" w14:paraId="5EFC4DA7" w14:textId="77777777" w:rsidTr="009A3429">
        <w:tc>
          <w:tcPr>
            <w:tcW w:w="535" w:type="dxa"/>
          </w:tcPr>
          <w:p w14:paraId="168DEDCC" w14:textId="77777777" w:rsidR="00A47F5B" w:rsidRPr="0051157C" w:rsidRDefault="00A47F5B" w:rsidP="00A47F5B">
            <w:pPr>
              <w:jc w:val="both"/>
              <w:rPr>
                <w:rFonts w:ascii="Aptos" w:hAnsi="Aptos" w:cstheme="minorHAnsi"/>
                <w:b/>
              </w:rPr>
            </w:pPr>
            <w:r w:rsidRPr="0051157C">
              <w:rPr>
                <w:rFonts w:ascii="Aptos" w:hAnsi="Aptos" w:cstheme="minorHAnsi"/>
                <w:b/>
              </w:rPr>
              <w:t>1.</w:t>
            </w:r>
          </w:p>
        </w:tc>
        <w:tc>
          <w:tcPr>
            <w:tcW w:w="1949" w:type="dxa"/>
          </w:tcPr>
          <w:p w14:paraId="5DE86181" w14:textId="70B35DAA" w:rsidR="00A47F5B" w:rsidRPr="0051157C" w:rsidRDefault="00A47F5B" w:rsidP="00A47F5B">
            <w:pPr>
              <w:rPr>
                <w:rFonts w:ascii="Aptos" w:hAnsi="Aptos" w:cstheme="minorHAnsi"/>
                <w:b/>
              </w:rPr>
            </w:pPr>
            <w:r w:rsidRPr="0051157C">
              <w:rPr>
                <w:rFonts w:ascii="Aptos" w:hAnsi="Aptos" w:cstheme="minorHAnsi"/>
                <w:b/>
              </w:rPr>
              <w:t>Section 23A</w:t>
            </w:r>
          </w:p>
          <w:p w14:paraId="36F18D1F" w14:textId="77777777" w:rsidR="00A47F5B" w:rsidRPr="0051157C" w:rsidRDefault="00A47F5B" w:rsidP="00A47F5B">
            <w:pPr>
              <w:rPr>
                <w:rFonts w:ascii="Aptos" w:hAnsi="Aptos" w:cstheme="minorHAnsi"/>
                <w:b/>
              </w:rPr>
            </w:pPr>
          </w:p>
          <w:p w14:paraId="6BBFB061" w14:textId="0C7DDF12" w:rsidR="00A47F5B" w:rsidRPr="0051157C" w:rsidRDefault="00A47F5B" w:rsidP="00A47F5B">
            <w:pPr>
              <w:rPr>
                <w:rFonts w:ascii="Aptos" w:hAnsi="Aptos" w:cstheme="minorHAnsi"/>
                <w:b/>
              </w:rPr>
            </w:pPr>
            <w:r w:rsidRPr="0051157C">
              <w:rPr>
                <w:rFonts w:ascii="Aptos" w:hAnsi="Aptos" w:cstheme="minorHAnsi"/>
                <w:b/>
              </w:rPr>
              <w:t>Electronic tax invoices</w:t>
            </w:r>
          </w:p>
          <w:p w14:paraId="33DE7C70" w14:textId="77777777" w:rsidR="00A47F5B" w:rsidRPr="0051157C" w:rsidRDefault="00A47F5B" w:rsidP="00A47F5B">
            <w:pPr>
              <w:rPr>
                <w:rFonts w:ascii="Aptos" w:hAnsi="Aptos" w:cstheme="minorHAnsi"/>
                <w:b/>
              </w:rPr>
            </w:pPr>
          </w:p>
        </w:tc>
        <w:tc>
          <w:tcPr>
            <w:tcW w:w="7636" w:type="dxa"/>
          </w:tcPr>
          <w:p w14:paraId="7958B09F" w14:textId="40CF42B5" w:rsidR="00A47F5B" w:rsidRPr="0051157C" w:rsidRDefault="00A47F5B" w:rsidP="00A47F5B">
            <w:pPr>
              <w:rPr>
                <w:rFonts w:ascii="Aptos" w:hAnsi="Aptos" w:cstheme="majorHAnsi"/>
                <w:bCs/>
              </w:rPr>
            </w:pPr>
            <w:r w:rsidRPr="0051157C">
              <w:rPr>
                <w:rFonts w:ascii="Aptos" w:hAnsi="Aptos" w:cstheme="majorHAnsi"/>
                <w:bCs/>
              </w:rPr>
              <w:t>The Tax Laws (Amendment) Act, 2024 amended Section 23A of the TPA to provide for “reverse invoicing”, through which purchasers shall issue electronic tax invoices (“</w:t>
            </w:r>
            <w:r w:rsidRPr="0051157C">
              <w:rPr>
                <w:rFonts w:ascii="Aptos" w:hAnsi="Aptos" w:cstheme="majorHAnsi"/>
                <w:b/>
              </w:rPr>
              <w:t>eTIMS invoices</w:t>
            </w:r>
            <w:r w:rsidRPr="0051157C">
              <w:rPr>
                <w:rFonts w:ascii="Aptos" w:hAnsi="Aptos" w:cstheme="majorHAnsi"/>
                <w:bCs/>
              </w:rPr>
              <w:t>”) where they receive supplies from small businesses or small-scale farmers whose turnover does not exceed KES 1 million.</w:t>
            </w:r>
          </w:p>
          <w:p w14:paraId="5A7CBF18" w14:textId="77777777" w:rsidR="00A47F5B" w:rsidRPr="0051157C" w:rsidRDefault="00A47F5B" w:rsidP="00A47F5B">
            <w:pPr>
              <w:rPr>
                <w:rFonts w:ascii="Aptos" w:hAnsi="Aptos" w:cstheme="majorHAnsi"/>
                <w:bCs/>
              </w:rPr>
            </w:pPr>
          </w:p>
          <w:p w14:paraId="7EBBD4F4" w14:textId="77777777" w:rsidR="00A47F5B" w:rsidRPr="0051157C" w:rsidRDefault="00A47F5B" w:rsidP="00A47F5B">
            <w:pPr>
              <w:rPr>
                <w:rFonts w:ascii="Aptos" w:hAnsi="Aptos" w:cstheme="majorHAnsi"/>
                <w:bCs/>
              </w:rPr>
            </w:pPr>
            <w:r w:rsidRPr="0051157C">
              <w:rPr>
                <w:rFonts w:ascii="Aptos" w:hAnsi="Aptos" w:cstheme="majorHAnsi"/>
                <w:bCs/>
              </w:rPr>
              <w:t>We propose that this provision be amended to read as follows:</w:t>
            </w:r>
          </w:p>
          <w:p w14:paraId="06E5A1A9" w14:textId="77777777" w:rsidR="00A47F5B" w:rsidRPr="0051157C" w:rsidRDefault="00A47F5B" w:rsidP="00A47F5B">
            <w:pPr>
              <w:rPr>
                <w:rFonts w:ascii="Aptos" w:hAnsi="Aptos" w:cstheme="majorHAnsi"/>
                <w:bCs/>
              </w:rPr>
            </w:pPr>
          </w:p>
          <w:p w14:paraId="32777E2D" w14:textId="48E4505F" w:rsidR="00A47F5B" w:rsidRPr="0051157C" w:rsidRDefault="00A47F5B" w:rsidP="00A47F5B">
            <w:pPr>
              <w:rPr>
                <w:rFonts w:ascii="Aptos" w:hAnsi="Aptos" w:cstheme="majorHAnsi"/>
                <w:bCs/>
                <w:i/>
                <w:iCs/>
              </w:rPr>
            </w:pPr>
            <w:r w:rsidRPr="0051157C">
              <w:rPr>
                <w:rFonts w:ascii="Aptos" w:hAnsi="Aptos" w:cstheme="majorHAnsi"/>
                <w:bCs/>
                <w:i/>
                <w:iCs/>
              </w:rPr>
              <w:lastRenderedPageBreak/>
              <w:t>“(3A) Without prejudice to subsection (3), where a supply is received from a small business or a small-scale farmer, whose annual turnover does not exceed five million shillings, the purchaser shall issue a tax invoice for the purpose of ascertaining tax liability.</w:t>
            </w:r>
          </w:p>
          <w:p w14:paraId="2D305D84" w14:textId="77777777" w:rsidR="00A47F5B" w:rsidRPr="0051157C" w:rsidRDefault="00A47F5B" w:rsidP="00A47F5B">
            <w:pPr>
              <w:rPr>
                <w:rFonts w:ascii="Aptos" w:hAnsi="Aptos" w:cstheme="majorHAnsi"/>
                <w:bCs/>
                <w:i/>
                <w:iCs/>
              </w:rPr>
            </w:pPr>
          </w:p>
          <w:p w14:paraId="33804A46" w14:textId="77777777" w:rsidR="00A47F5B" w:rsidRPr="0051157C" w:rsidRDefault="00A47F5B" w:rsidP="00A47F5B">
            <w:pPr>
              <w:rPr>
                <w:rFonts w:ascii="Aptos" w:hAnsi="Aptos" w:cstheme="majorHAnsi"/>
                <w:b/>
                <w:i/>
                <w:iCs/>
              </w:rPr>
            </w:pPr>
            <w:r w:rsidRPr="0051157C">
              <w:rPr>
                <w:rFonts w:ascii="Aptos" w:hAnsi="Aptos" w:cstheme="majorHAnsi"/>
                <w:b/>
                <w:i/>
                <w:iCs/>
              </w:rPr>
              <w:t xml:space="preserve">Provided that: </w:t>
            </w:r>
          </w:p>
          <w:p w14:paraId="5BAE378B" w14:textId="77777777" w:rsidR="00A47F5B" w:rsidRPr="0051157C" w:rsidRDefault="00A47F5B" w:rsidP="00A47F5B">
            <w:pPr>
              <w:rPr>
                <w:rFonts w:ascii="Aptos" w:hAnsi="Aptos" w:cstheme="majorHAnsi"/>
                <w:b/>
                <w:i/>
                <w:iCs/>
              </w:rPr>
            </w:pPr>
          </w:p>
          <w:p w14:paraId="4595C0B6" w14:textId="77777777" w:rsidR="00A47F5B" w:rsidRPr="0051157C" w:rsidRDefault="00A47F5B" w:rsidP="00A47F5B">
            <w:pPr>
              <w:rPr>
                <w:rFonts w:ascii="Aptos" w:hAnsi="Aptos" w:cstheme="majorHAnsi"/>
                <w:b/>
                <w:i/>
                <w:iCs/>
              </w:rPr>
            </w:pPr>
            <w:r w:rsidRPr="0051157C">
              <w:rPr>
                <w:rFonts w:ascii="Aptos" w:hAnsi="Aptos" w:cstheme="majorHAnsi"/>
                <w:b/>
                <w:i/>
                <w:iCs/>
              </w:rPr>
              <w:t>(i) The purchaser shall acquire and retain proof of the supplier’s PIN issued under sections 8, 11 and 12 of this Act;</w:t>
            </w:r>
          </w:p>
          <w:p w14:paraId="1D0EF191" w14:textId="77777777" w:rsidR="00A47F5B" w:rsidRPr="0051157C" w:rsidRDefault="00A47F5B" w:rsidP="00A47F5B">
            <w:pPr>
              <w:rPr>
                <w:rFonts w:ascii="Aptos" w:hAnsi="Aptos" w:cstheme="majorHAnsi"/>
                <w:b/>
                <w:i/>
                <w:iCs/>
              </w:rPr>
            </w:pPr>
            <w:r w:rsidRPr="0051157C">
              <w:rPr>
                <w:rFonts w:ascii="Aptos" w:hAnsi="Aptos" w:cstheme="majorHAnsi"/>
                <w:b/>
                <w:i/>
                <w:iCs/>
              </w:rPr>
              <w:t>(ii) The purchaser shall enter into an agreement with the supplier that the supplier shall not issue an electronic tax invoice under this section;</w:t>
            </w:r>
          </w:p>
          <w:p w14:paraId="61560D48" w14:textId="77777777" w:rsidR="00A47F5B" w:rsidRPr="0051157C" w:rsidRDefault="00A47F5B" w:rsidP="00A47F5B">
            <w:pPr>
              <w:rPr>
                <w:rFonts w:ascii="Aptos" w:hAnsi="Aptos" w:cstheme="majorHAnsi"/>
                <w:b/>
                <w:i/>
                <w:iCs/>
              </w:rPr>
            </w:pPr>
            <w:r w:rsidRPr="0051157C">
              <w:rPr>
                <w:rFonts w:ascii="Aptos" w:hAnsi="Aptos" w:cstheme="majorHAnsi"/>
                <w:b/>
                <w:i/>
                <w:iCs/>
              </w:rPr>
              <w:t>(iii) The purchaser shall lodge with the Commissioner, not later than the end of each financial year, a return in the prescribed form indicating the suppliers with whom they</w:t>
            </w:r>
            <w:r w:rsidRPr="0051157C">
              <w:rPr>
                <w:rFonts w:ascii="Aptos" w:hAnsi="Aptos" w:cstheme="majorHAnsi"/>
                <w:bCs/>
                <w:i/>
                <w:iCs/>
              </w:rPr>
              <w:t xml:space="preserve"> </w:t>
            </w:r>
            <w:r w:rsidRPr="0051157C">
              <w:rPr>
                <w:rFonts w:ascii="Aptos" w:hAnsi="Aptos" w:cstheme="majorHAnsi"/>
                <w:b/>
                <w:i/>
                <w:iCs/>
              </w:rPr>
              <w:t>have concluded an agreement to issue electronic tax invoices under this subsection.</w:t>
            </w:r>
          </w:p>
          <w:p w14:paraId="3D48798B" w14:textId="77777777" w:rsidR="00A47F5B" w:rsidRPr="0051157C" w:rsidRDefault="00A47F5B" w:rsidP="00A47F5B">
            <w:pPr>
              <w:rPr>
                <w:rFonts w:ascii="Aptos" w:hAnsi="Aptos" w:cstheme="majorHAnsi"/>
                <w:b/>
                <w:i/>
                <w:iCs/>
              </w:rPr>
            </w:pPr>
            <w:r w:rsidRPr="0051157C">
              <w:rPr>
                <w:rFonts w:ascii="Aptos" w:hAnsi="Aptos" w:cstheme="majorHAnsi"/>
                <w:b/>
                <w:i/>
                <w:iCs/>
              </w:rPr>
              <w:t>(iv) This subsection shall only apply to purchasers with an annual turnover of at least five million shillings.</w:t>
            </w:r>
          </w:p>
          <w:p w14:paraId="206BA30A" w14:textId="77777777" w:rsidR="00A47F5B" w:rsidRPr="0051157C" w:rsidRDefault="00A47F5B" w:rsidP="00A47F5B">
            <w:pPr>
              <w:rPr>
                <w:rFonts w:ascii="Aptos" w:hAnsi="Aptos" w:cstheme="majorHAnsi"/>
                <w:b/>
                <w:i/>
                <w:iCs/>
              </w:rPr>
            </w:pPr>
            <w:r w:rsidRPr="0051157C">
              <w:rPr>
                <w:rFonts w:ascii="Aptos" w:hAnsi="Aptos" w:cstheme="majorHAnsi"/>
                <w:b/>
                <w:i/>
                <w:iCs/>
              </w:rPr>
              <w:t>(v) This subsection shall come into force on 1 January 2026.</w:t>
            </w:r>
          </w:p>
          <w:p w14:paraId="13ABAA94" w14:textId="77777777" w:rsidR="00A47F5B" w:rsidRPr="0051157C" w:rsidRDefault="00A47F5B" w:rsidP="00A47F5B">
            <w:pPr>
              <w:rPr>
                <w:rFonts w:ascii="Aptos" w:hAnsi="Aptos" w:cstheme="majorHAnsi"/>
                <w:b/>
                <w:i/>
                <w:iCs/>
              </w:rPr>
            </w:pPr>
          </w:p>
          <w:p w14:paraId="5C5A6C6E" w14:textId="77777777" w:rsidR="00A47F5B" w:rsidRPr="0051157C" w:rsidRDefault="00A47F5B" w:rsidP="00A47F5B">
            <w:pPr>
              <w:rPr>
                <w:rFonts w:ascii="Aptos" w:hAnsi="Aptos" w:cstheme="majorHAnsi"/>
                <w:b/>
                <w:i/>
                <w:iCs/>
              </w:rPr>
            </w:pPr>
            <w:r w:rsidRPr="0051157C">
              <w:rPr>
                <w:rFonts w:ascii="Aptos" w:hAnsi="Aptos" w:cstheme="majorHAnsi"/>
                <w:b/>
                <w:i/>
                <w:iCs/>
              </w:rPr>
              <w:t>(3B) The Cabinet Secretary shall, by notice in the Gazette, make regulations for the better carrying out of the provisions of subsection 3A.”</w:t>
            </w:r>
          </w:p>
          <w:p w14:paraId="13FEA1D6" w14:textId="77777777" w:rsidR="00A47F5B" w:rsidRPr="0051157C" w:rsidRDefault="00A47F5B" w:rsidP="00A47F5B">
            <w:pPr>
              <w:rPr>
                <w:rFonts w:ascii="Aptos" w:hAnsi="Aptos" w:cstheme="minorHAnsi"/>
                <w:bCs/>
              </w:rPr>
            </w:pPr>
          </w:p>
        </w:tc>
        <w:tc>
          <w:tcPr>
            <w:tcW w:w="4334" w:type="dxa"/>
          </w:tcPr>
          <w:p w14:paraId="25D047FF" w14:textId="4F2717B8" w:rsidR="00A47F5B" w:rsidRPr="0051157C" w:rsidRDefault="00A47F5B" w:rsidP="00A47F5B">
            <w:pPr>
              <w:rPr>
                <w:rFonts w:ascii="Aptos" w:hAnsi="Aptos" w:cstheme="majorHAnsi"/>
                <w:bCs/>
              </w:rPr>
            </w:pPr>
            <w:r w:rsidRPr="0051157C">
              <w:rPr>
                <w:rFonts w:ascii="Aptos" w:hAnsi="Aptos" w:cstheme="majorHAnsi"/>
                <w:bCs/>
              </w:rPr>
              <w:lastRenderedPageBreak/>
              <w:t>The reverse invoicing option was introduced with the presumed intention to improve compliance by shifting the burden to generate eTIMS invoices from the small traders and farmers to their customers.</w:t>
            </w:r>
          </w:p>
          <w:p w14:paraId="4266DB2D" w14:textId="77777777" w:rsidR="00A47F5B" w:rsidRPr="0051157C" w:rsidRDefault="00A47F5B" w:rsidP="00A47F5B">
            <w:pPr>
              <w:rPr>
                <w:rFonts w:ascii="Aptos" w:hAnsi="Aptos" w:cstheme="majorHAnsi"/>
                <w:bCs/>
              </w:rPr>
            </w:pPr>
          </w:p>
          <w:p w14:paraId="7EF32982" w14:textId="1010F9FD" w:rsidR="00A47F5B" w:rsidRPr="0051157C" w:rsidRDefault="00A47F5B" w:rsidP="00A47F5B">
            <w:pPr>
              <w:rPr>
                <w:rFonts w:ascii="Aptos" w:hAnsi="Aptos" w:cstheme="majorHAnsi"/>
                <w:bCs/>
              </w:rPr>
            </w:pPr>
            <w:r w:rsidRPr="0051157C">
              <w:rPr>
                <w:rFonts w:ascii="Aptos" w:hAnsi="Aptos" w:cstheme="majorHAnsi"/>
                <w:bCs/>
              </w:rPr>
              <w:t xml:space="preserve">However, in our view, the provision as presently drafted is ambiguous in certain key aspects. Our recommendation </w:t>
            </w:r>
            <w:r w:rsidRPr="0051157C">
              <w:rPr>
                <w:rFonts w:ascii="Aptos" w:hAnsi="Aptos" w:cstheme="majorHAnsi"/>
                <w:bCs/>
              </w:rPr>
              <w:lastRenderedPageBreak/>
              <w:t>therefore seeks to cure this gap by addressing the following issues;</w:t>
            </w:r>
          </w:p>
          <w:p w14:paraId="518C4A19" w14:textId="77777777" w:rsidR="00A47F5B" w:rsidRPr="0051157C" w:rsidRDefault="00A47F5B" w:rsidP="00A47F5B">
            <w:pPr>
              <w:rPr>
                <w:rFonts w:ascii="Aptos" w:hAnsi="Aptos" w:cstheme="majorHAnsi"/>
                <w:bCs/>
              </w:rPr>
            </w:pPr>
          </w:p>
          <w:p w14:paraId="3A5B15B2" w14:textId="77777777" w:rsidR="00A47F5B" w:rsidRPr="0051157C" w:rsidRDefault="00A47F5B" w:rsidP="00E9775B">
            <w:pPr>
              <w:pStyle w:val="ListParagraph"/>
              <w:numPr>
                <w:ilvl w:val="0"/>
                <w:numId w:val="1"/>
              </w:numPr>
              <w:rPr>
                <w:rFonts w:ascii="Aptos" w:hAnsi="Aptos" w:cstheme="majorHAnsi"/>
                <w:bCs/>
              </w:rPr>
            </w:pPr>
            <w:r w:rsidRPr="0051157C">
              <w:rPr>
                <w:rFonts w:ascii="Aptos" w:hAnsi="Aptos" w:cstheme="majorHAnsi"/>
                <w:bCs/>
              </w:rPr>
              <w:t xml:space="preserve">To prevent the incidence of both the supplier and the purchaser of the same supply issuing eTIMS invoices, we propose that the purchaser and supplier should conclude an agreement that the responsibility to issue a tax invoice shall lie on the purchaser. This recommendation is also in line with the practice in other jurisdictions with self-invoicing regimes, such as South Africa. </w:t>
            </w:r>
          </w:p>
          <w:p w14:paraId="535C1B37" w14:textId="77777777" w:rsidR="00A47F5B" w:rsidRPr="0051157C" w:rsidRDefault="00A47F5B" w:rsidP="00E9775B">
            <w:pPr>
              <w:pStyle w:val="ListParagraph"/>
              <w:numPr>
                <w:ilvl w:val="0"/>
                <w:numId w:val="1"/>
              </w:numPr>
              <w:rPr>
                <w:rFonts w:ascii="Aptos" w:hAnsi="Aptos" w:cstheme="majorHAnsi"/>
                <w:bCs/>
              </w:rPr>
            </w:pPr>
            <w:r w:rsidRPr="0051157C">
              <w:rPr>
                <w:rFonts w:ascii="Aptos" w:hAnsi="Aptos" w:cstheme="majorHAnsi"/>
                <w:bCs/>
              </w:rPr>
              <w:t>Given that the overall aim of this provision is to expand the tax base, we also propose that purchasers should only issue reverse or self-invoices to suppliers with tax PINs. This will aid in capturing more small businesses and small-scale farmers who might not be registered for tax purposes, yet they engage in taxable and income-generating activities in the country.</w:t>
            </w:r>
          </w:p>
          <w:p w14:paraId="0F8CE6BF" w14:textId="77777777" w:rsidR="00A47F5B" w:rsidRPr="0051157C" w:rsidRDefault="00A47F5B" w:rsidP="00E9775B">
            <w:pPr>
              <w:pStyle w:val="ListParagraph"/>
              <w:numPr>
                <w:ilvl w:val="0"/>
                <w:numId w:val="1"/>
              </w:numPr>
              <w:rPr>
                <w:rFonts w:ascii="Aptos" w:hAnsi="Aptos" w:cstheme="majorHAnsi"/>
                <w:bCs/>
              </w:rPr>
            </w:pPr>
            <w:r w:rsidRPr="0051157C">
              <w:rPr>
                <w:rFonts w:ascii="Aptos" w:hAnsi="Aptos" w:cstheme="majorHAnsi"/>
                <w:bCs/>
              </w:rPr>
              <w:t>In the same breath as the point above, we also recommend that, for each year, purchasers who issue reverse invoices should declare their suppliers and their tax PINs to the KRA. This will help in further expanding the tax base and bring more taxpayers into the fold.</w:t>
            </w:r>
          </w:p>
          <w:p w14:paraId="2B7CF818" w14:textId="77777777" w:rsidR="00A47F5B" w:rsidRPr="0051157C" w:rsidRDefault="00A47F5B" w:rsidP="00E9775B">
            <w:pPr>
              <w:pStyle w:val="ListParagraph"/>
              <w:numPr>
                <w:ilvl w:val="0"/>
                <w:numId w:val="1"/>
              </w:numPr>
              <w:rPr>
                <w:rFonts w:ascii="Aptos" w:hAnsi="Aptos" w:cstheme="majorHAnsi"/>
                <w:bCs/>
              </w:rPr>
            </w:pPr>
            <w:r w:rsidRPr="0051157C">
              <w:rPr>
                <w:rFonts w:ascii="Aptos" w:hAnsi="Aptos" w:cstheme="majorHAnsi"/>
                <w:bCs/>
              </w:rPr>
              <w:lastRenderedPageBreak/>
              <w:t>In addition, to prevent the imposition of reverse invoicing requirements to other small traders and individuals as well, we propose that this provision should only apply to larger purchasers with an annual turnover of at least KES 5 million.</w:t>
            </w:r>
          </w:p>
          <w:p w14:paraId="744667DD" w14:textId="70FC02E9" w:rsidR="00A47F5B" w:rsidRPr="0051157C" w:rsidRDefault="00A47F5B" w:rsidP="00E9775B">
            <w:pPr>
              <w:pStyle w:val="ListParagraph"/>
              <w:numPr>
                <w:ilvl w:val="0"/>
                <w:numId w:val="1"/>
              </w:numPr>
              <w:rPr>
                <w:rFonts w:ascii="Aptos" w:hAnsi="Aptos" w:cstheme="majorHAnsi"/>
                <w:bCs/>
              </w:rPr>
            </w:pPr>
            <w:r w:rsidRPr="0051157C">
              <w:rPr>
                <w:rFonts w:ascii="Aptos" w:hAnsi="Aptos" w:cstheme="majorHAnsi"/>
                <w:bCs/>
              </w:rPr>
              <w:t xml:space="preserve">Given the less-than-optimal uptake of eTIMS in the country, we also recommend that the reverse invoicing provisions should commence in January 2026 to allow </w:t>
            </w:r>
            <w:r>
              <w:rPr>
                <w:rFonts w:ascii="Aptos" w:hAnsi="Aptos" w:cstheme="majorHAnsi"/>
                <w:bCs/>
              </w:rPr>
              <w:t>adequate</w:t>
            </w:r>
            <w:r w:rsidRPr="0051157C">
              <w:rPr>
                <w:rFonts w:ascii="Aptos" w:hAnsi="Aptos" w:cstheme="majorHAnsi"/>
                <w:bCs/>
              </w:rPr>
              <w:t xml:space="preserve"> time for the programme to be rolled out by the Government before its implementation by law.</w:t>
            </w:r>
          </w:p>
          <w:p w14:paraId="4C0B7D80" w14:textId="77777777" w:rsidR="00A47F5B" w:rsidRPr="0051157C" w:rsidRDefault="00A47F5B" w:rsidP="00E9775B">
            <w:pPr>
              <w:pStyle w:val="ListParagraph"/>
              <w:numPr>
                <w:ilvl w:val="0"/>
                <w:numId w:val="1"/>
              </w:numPr>
              <w:rPr>
                <w:rFonts w:ascii="Aptos" w:hAnsi="Aptos" w:cstheme="majorHAnsi"/>
                <w:bCs/>
              </w:rPr>
            </w:pPr>
            <w:r w:rsidRPr="0051157C">
              <w:rPr>
                <w:rFonts w:ascii="Aptos" w:hAnsi="Aptos" w:cstheme="majorHAnsi"/>
                <w:bCs/>
              </w:rPr>
              <w:t>Finally, we recommend that the CS Treasury should be empowered to make regulations for the better implementation of the reverse-invoicing regime. Given that it will be a novel introduction into Kenya’s tax administration, this would afford the Government the chance to modify and enhance its implementation based on the challenges encountered and lessons learnt along the way.</w:t>
            </w:r>
          </w:p>
          <w:p w14:paraId="6FDA66D9" w14:textId="77777777" w:rsidR="00A47F5B" w:rsidRPr="0051157C" w:rsidRDefault="00A47F5B" w:rsidP="00A47F5B">
            <w:pPr>
              <w:rPr>
                <w:rFonts w:ascii="Aptos" w:hAnsi="Aptos" w:cstheme="majorHAnsi"/>
                <w:bCs/>
              </w:rPr>
            </w:pPr>
          </w:p>
          <w:p w14:paraId="28A87A62" w14:textId="77777777" w:rsidR="00A47F5B" w:rsidRPr="0051157C" w:rsidRDefault="00A47F5B" w:rsidP="00A47F5B">
            <w:pPr>
              <w:rPr>
                <w:rFonts w:ascii="Aptos" w:hAnsi="Aptos" w:cstheme="majorHAnsi"/>
                <w:bCs/>
              </w:rPr>
            </w:pPr>
            <w:r w:rsidRPr="0051157C">
              <w:rPr>
                <w:rFonts w:ascii="Aptos" w:hAnsi="Aptos" w:cstheme="majorHAnsi"/>
                <w:bCs/>
              </w:rPr>
              <w:t xml:space="preserve">Elsewhere on the continent, we note that such reverse invoicing or self-invoicing regimes exist in countries such as South Africa and Cape Verde. We urge the KRA to </w:t>
            </w:r>
            <w:r w:rsidRPr="0051157C">
              <w:rPr>
                <w:rFonts w:ascii="Aptos" w:hAnsi="Aptos" w:cstheme="majorHAnsi"/>
                <w:bCs/>
              </w:rPr>
              <w:lastRenderedPageBreak/>
              <w:t>draw on lessons from these countries in further implementing this measure.</w:t>
            </w:r>
          </w:p>
          <w:p w14:paraId="626BDCA3" w14:textId="77777777" w:rsidR="00A47F5B" w:rsidRPr="0051157C" w:rsidRDefault="00A47F5B" w:rsidP="00A47F5B">
            <w:pPr>
              <w:rPr>
                <w:rFonts w:ascii="Aptos" w:hAnsi="Aptos" w:cstheme="minorHAnsi"/>
                <w:bCs/>
              </w:rPr>
            </w:pPr>
          </w:p>
        </w:tc>
      </w:tr>
      <w:tr w:rsidR="00A47F5B" w:rsidRPr="0051157C" w14:paraId="40A4DE05" w14:textId="77777777" w:rsidTr="009A3429">
        <w:tc>
          <w:tcPr>
            <w:tcW w:w="535" w:type="dxa"/>
          </w:tcPr>
          <w:p w14:paraId="435D8DDC" w14:textId="0DDB54F3" w:rsidR="00A47F5B" w:rsidRPr="0051157C" w:rsidRDefault="00A47F5B" w:rsidP="00A47F5B">
            <w:pPr>
              <w:jc w:val="both"/>
              <w:rPr>
                <w:rFonts w:ascii="Aptos" w:hAnsi="Aptos" w:cstheme="minorHAnsi"/>
                <w:b/>
                <w:bCs/>
              </w:rPr>
            </w:pPr>
            <w:r w:rsidRPr="0051157C">
              <w:rPr>
                <w:rFonts w:ascii="Aptos" w:hAnsi="Aptos" w:cstheme="minorHAnsi"/>
                <w:b/>
                <w:bCs/>
              </w:rPr>
              <w:lastRenderedPageBreak/>
              <w:t>2.</w:t>
            </w:r>
          </w:p>
        </w:tc>
        <w:tc>
          <w:tcPr>
            <w:tcW w:w="1949" w:type="dxa"/>
          </w:tcPr>
          <w:p w14:paraId="148B1A3F" w14:textId="77777777" w:rsidR="00A47F5B" w:rsidRPr="0051157C" w:rsidRDefault="00A47F5B" w:rsidP="00A47F5B">
            <w:pPr>
              <w:rPr>
                <w:rFonts w:ascii="Aptos" w:hAnsi="Aptos" w:cstheme="majorHAnsi"/>
                <w:b/>
                <w:bCs/>
              </w:rPr>
            </w:pPr>
            <w:r w:rsidRPr="0051157C">
              <w:rPr>
                <w:rFonts w:ascii="Aptos" w:hAnsi="Aptos" w:cstheme="majorHAnsi"/>
                <w:b/>
                <w:bCs/>
              </w:rPr>
              <w:t>Section 47(13) of the TPA</w:t>
            </w:r>
          </w:p>
          <w:p w14:paraId="377AA918" w14:textId="77777777" w:rsidR="00A47F5B" w:rsidRPr="0051157C" w:rsidRDefault="00A47F5B" w:rsidP="00A47F5B">
            <w:pPr>
              <w:rPr>
                <w:rFonts w:ascii="Aptos" w:hAnsi="Aptos" w:cstheme="majorHAnsi"/>
                <w:b/>
                <w:bCs/>
              </w:rPr>
            </w:pPr>
          </w:p>
          <w:p w14:paraId="77180C7B" w14:textId="77B5DF1F" w:rsidR="00A47F5B" w:rsidRPr="0051157C" w:rsidRDefault="00A47F5B" w:rsidP="00A47F5B">
            <w:pPr>
              <w:rPr>
                <w:rFonts w:ascii="Aptos" w:hAnsi="Aptos" w:cstheme="minorHAnsi"/>
                <w:b/>
                <w:bCs/>
              </w:rPr>
            </w:pPr>
            <w:r w:rsidRPr="0051157C">
              <w:rPr>
                <w:rFonts w:ascii="Aptos" w:hAnsi="Aptos" w:cstheme="majorHAnsi"/>
                <w:b/>
                <w:bCs/>
              </w:rPr>
              <w:t>Offset or refund of overpaid tax</w:t>
            </w:r>
          </w:p>
        </w:tc>
        <w:tc>
          <w:tcPr>
            <w:tcW w:w="7636" w:type="dxa"/>
          </w:tcPr>
          <w:p w14:paraId="70A3C989" w14:textId="3438262F" w:rsidR="00A47F5B" w:rsidRPr="0051157C" w:rsidRDefault="00A47F5B" w:rsidP="00A47F5B">
            <w:pPr>
              <w:rPr>
                <w:rFonts w:ascii="Aptos" w:hAnsi="Aptos" w:cstheme="minorHAnsi"/>
              </w:rPr>
            </w:pPr>
            <w:r w:rsidRPr="0051157C">
              <w:rPr>
                <w:rFonts w:ascii="Aptos" w:hAnsi="Aptos" w:cstheme="majorHAnsi"/>
              </w:rPr>
              <w:t>We propose that Section 47 (13) of the TPA be amended to have refund decisions treated as tax decisions, rather than appealable decisions.</w:t>
            </w:r>
          </w:p>
        </w:tc>
        <w:tc>
          <w:tcPr>
            <w:tcW w:w="4334" w:type="dxa"/>
          </w:tcPr>
          <w:p w14:paraId="691DADBE" w14:textId="77777777" w:rsidR="00A47F5B" w:rsidRPr="0051157C" w:rsidRDefault="00A47F5B" w:rsidP="00A47F5B">
            <w:pPr>
              <w:rPr>
                <w:rFonts w:ascii="Aptos" w:hAnsi="Aptos" w:cstheme="majorHAnsi"/>
              </w:rPr>
            </w:pPr>
            <w:r w:rsidRPr="0051157C">
              <w:rPr>
                <w:rFonts w:ascii="Aptos" w:hAnsi="Aptos" w:cstheme="majorHAnsi"/>
              </w:rPr>
              <w:t xml:space="preserve">This would clear the ambiguity in the law introduced by Section 47 of the TPA, as amended by the Finance Act, 2022. This provision empowers taxpayers to challenge refund decisions before the TAT. </w:t>
            </w:r>
          </w:p>
          <w:p w14:paraId="329F359B" w14:textId="77777777" w:rsidR="00A47F5B" w:rsidRPr="0051157C" w:rsidRDefault="00A47F5B" w:rsidP="00A47F5B">
            <w:pPr>
              <w:rPr>
                <w:rFonts w:ascii="Aptos" w:hAnsi="Aptos" w:cstheme="majorHAnsi"/>
              </w:rPr>
            </w:pPr>
          </w:p>
          <w:p w14:paraId="20D83E26" w14:textId="77777777" w:rsidR="00A47F5B" w:rsidRDefault="00A47F5B" w:rsidP="00A47F5B">
            <w:pPr>
              <w:rPr>
                <w:rFonts w:ascii="Aptos" w:hAnsi="Aptos" w:cstheme="majorHAnsi"/>
              </w:rPr>
            </w:pPr>
            <w:r w:rsidRPr="0051157C">
              <w:rPr>
                <w:rFonts w:ascii="Aptos" w:hAnsi="Aptos" w:cstheme="majorHAnsi"/>
              </w:rPr>
              <w:t>Appealing refund decisions is administratively cumbersome and inefficient for the taxpayers and the TAT. This is especially so in the context of transactional taxes like VAT which have monthly obligations, where a taxpayer may be required to submit numerous appeals to the TAT monthly.</w:t>
            </w:r>
          </w:p>
          <w:p w14:paraId="587730CD" w14:textId="77777777" w:rsidR="00A47F5B" w:rsidRDefault="00A47F5B" w:rsidP="00A47F5B">
            <w:pPr>
              <w:rPr>
                <w:rFonts w:ascii="Aptos" w:hAnsi="Aptos" w:cstheme="majorHAnsi"/>
              </w:rPr>
            </w:pPr>
          </w:p>
          <w:p w14:paraId="38F06274" w14:textId="2C0C1749" w:rsidR="00A47F5B" w:rsidRPr="0051157C" w:rsidRDefault="00A47F5B" w:rsidP="00A47F5B">
            <w:pPr>
              <w:rPr>
                <w:rFonts w:ascii="Aptos" w:hAnsi="Aptos" w:cstheme="majorHAnsi"/>
              </w:rPr>
            </w:pPr>
            <w:r w:rsidRPr="000F492F">
              <w:rPr>
                <w:rFonts w:ascii="Aptos" w:hAnsi="Aptos" w:cstheme="majorHAnsi"/>
              </w:rPr>
              <w:t xml:space="preserve">Due to the limited time a taxpayer has in canvassing the refund issues with the Commissioner, these cases are finding their way back to the same Commissioner through the ADR which is time consuming. The taxpayers should be allowed to engage the Commissioner through the objection process from the onset. </w:t>
            </w:r>
          </w:p>
          <w:p w14:paraId="56777A8A" w14:textId="1536CF1D" w:rsidR="00A47F5B" w:rsidRPr="0051157C" w:rsidRDefault="00A47F5B" w:rsidP="00A47F5B">
            <w:pPr>
              <w:rPr>
                <w:rFonts w:ascii="Aptos" w:hAnsi="Aptos" w:cstheme="minorHAnsi"/>
              </w:rPr>
            </w:pPr>
          </w:p>
        </w:tc>
      </w:tr>
      <w:tr w:rsidR="00A47F5B" w:rsidRPr="0051157C" w14:paraId="50119AA4" w14:textId="77777777" w:rsidTr="009A3429">
        <w:tc>
          <w:tcPr>
            <w:tcW w:w="535" w:type="dxa"/>
          </w:tcPr>
          <w:p w14:paraId="3ABA00F4" w14:textId="41BEACD1" w:rsidR="00A47F5B" w:rsidRPr="0051157C" w:rsidRDefault="00A47F5B" w:rsidP="00A47F5B">
            <w:pPr>
              <w:jc w:val="both"/>
              <w:rPr>
                <w:rFonts w:ascii="Aptos" w:hAnsi="Aptos" w:cstheme="minorHAnsi"/>
                <w:b/>
                <w:bCs/>
              </w:rPr>
            </w:pPr>
            <w:r w:rsidRPr="0051157C">
              <w:rPr>
                <w:rFonts w:ascii="Aptos" w:hAnsi="Aptos" w:cstheme="minorHAnsi"/>
                <w:b/>
                <w:bCs/>
              </w:rPr>
              <w:t xml:space="preserve">3. </w:t>
            </w:r>
          </w:p>
        </w:tc>
        <w:tc>
          <w:tcPr>
            <w:tcW w:w="1949" w:type="dxa"/>
          </w:tcPr>
          <w:p w14:paraId="5D757946" w14:textId="77777777" w:rsidR="00A47F5B" w:rsidRPr="0051157C" w:rsidRDefault="00A47F5B" w:rsidP="00A47F5B">
            <w:pPr>
              <w:rPr>
                <w:rFonts w:ascii="Aptos" w:hAnsi="Aptos" w:cstheme="majorHAnsi"/>
                <w:b/>
                <w:bCs/>
              </w:rPr>
            </w:pPr>
            <w:r w:rsidRPr="0051157C">
              <w:rPr>
                <w:rFonts w:ascii="Aptos" w:hAnsi="Aptos" w:cstheme="majorHAnsi"/>
                <w:b/>
                <w:bCs/>
              </w:rPr>
              <w:t>Section 51(11) of the TPA</w:t>
            </w:r>
          </w:p>
          <w:p w14:paraId="7EBA6717" w14:textId="77777777" w:rsidR="00A47F5B" w:rsidRPr="0051157C" w:rsidRDefault="00A47F5B" w:rsidP="00A47F5B">
            <w:pPr>
              <w:rPr>
                <w:rFonts w:ascii="Aptos" w:hAnsi="Aptos" w:cstheme="majorHAnsi"/>
                <w:b/>
                <w:bCs/>
              </w:rPr>
            </w:pPr>
          </w:p>
          <w:p w14:paraId="0CC374AC" w14:textId="33D25FDE" w:rsidR="00A47F5B" w:rsidRPr="0051157C" w:rsidRDefault="00A47F5B" w:rsidP="00A47F5B">
            <w:pPr>
              <w:rPr>
                <w:rFonts w:ascii="Aptos" w:hAnsi="Aptos" w:cstheme="minorHAnsi"/>
                <w:b/>
                <w:bCs/>
              </w:rPr>
            </w:pPr>
            <w:r w:rsidRPr="0051157C">
              <w:rPr>
                <w:rFonts w:ascii="Aptos" w:hAnsi="Aptos" w:cstheme="majorHAnsi"/>
                <w:b/>
                <w:bCs/>
              </w:rPr>
              <w:lastRenderedPageBreak/>
              <w:t>Objection to tax decisions</w:t>
            </w:r>
          </w:p>
        </w:tc>
        <w:tc>
          <w:tcPr>
            <w:tcW w:w="7636" w:type="dxa"/>
          </w:tcPr>
          <w:p w14:paraId="415FB0C4" w14:textId="10FDC98B" w:rsidR="00A47F5B" w:rsidRPr="0051157C" w:rsidRDefault="00A47F5B" w:rsidP="00A47F5B">
            <w:pPr>
              <w:rPr>
                <w:rFonts w:ascii="Aptos" w:hAnsi="Aptos" w:cstheme="minorHAnsi"/>
              </w:rPr>
            </w:pPr>
            <w:r w:rsidRPr="0051157C">
              <w:rPr>
                <w:rFonts w:ascii="Aptos" w:hAnsi="Aptos" w:cstheme="majorHAnsi"/>
              </w:rPr>
              <w:lastRenderedPageBreak/>
              <w:t>We recommend the amendment of Section 51(11) to increase the timelines within which the Commissioner should respond to an objection to ninety days from the current sixty days.</w:t>
            </w:r>
          </w:p>
        </w:tc>
        <w:tc>
          <w:tcPr>
            <w:tcW w:w="4334" w:type="dxa"/>
          </w:tcPr>
          <w:p w14:paraId="73298421" w14:textId="77777777" w:rsidR="00A47F5B" w:rsidRPr="0051157C" w:rsidRDefault="00A47F5B" w:rsidP="00A47F5B">
            <w:pPr>
              <w:rPr>
                <w:rFonts w:ascii="Aptos" w:hAnsi="Aptos" w:cstheme="majorHAnsi"/>
              </w:rPr>
            </w:pPr>
            <w:r w:rsidRPr="0051157C">
              <w:rPr>
                <w:rFonts w:ascii="Aptos" w:hAnsi="Aptos" w:cstheme="majorHAnsi"/>
              </w:rPr>
              <w:t xml:space="preserve">The legislative intent of Section 51(11), as currently drafted, was to prescribe a specific timeframe within which the Commissioner is required to issue an </w:t>
            </w:r>
            <w:r w:rsidRPr="0051157C">
              <w:rPr>
                <w:rFonts w:ascii="Aptos" w:hAnsi="Aptos" w:cstheme="majorHAnsi"/>
              </w:rPr>
              <w:lastRenderedPageBreak/>
              <w:t>objection decision, in the interests of justice and fairness for both taxpayers and the KRA.</w:t>
            </w:r>
          </w:p>
          <w:p w14:paraId="1ABECD64" w14:textId="77777777" w:rsidR="00A47F5B" w:rsidRPr="0051157C" w:rsidRDefault="00A47F5B" w:rsidP="00A47F5B">
            <w:pPr>
              <w:rPr>
                <w:rFonts w:ascii="Aptos" w:hAnsi="Aptos" w:cstheme="majorHAnsi"/>
              </w:rPr>
            </w:pPr>
          </w:p>
          <w:p w14:paraId="24DA4248" w14:textId="773B1730" w:rsidR="00A47F5B" w:rsidRPr="0051157C" w:rsidRDefault="00A47F5B" w:rsidP="00A47F5B">
            <w:pPr>
              <w:rPr>
                <w:rFonts w:ascii="Aptos" w:hAnsi="Aptos" w:cstheme="majorHAnsi"/>
              </w:rPr>
            </w:pPr>
            <w:r w:rsidRPr="0051157C">
              <w:rPr>
                <w:rFonts w:ascii="Aptos" w:hAnsi="Aptos" w:cstheme="majorHAnsi"/>
              </w:rPr>
              <w:t>However, given the growing number and complexity of tax disputes, the current 60-day period is proving difficult for the Independent Review of Objections (“</w:t>
            </w:r>
            <w:r w:rsidRPr="0051157C">
              <w:rPr>
                <w:rFonts w:ascii="Aptos" w:hAnsi="Aptos" w:cstheme="majorHAnsi"/>
                <w:b/>
                <w:bCs/>
              </w:rPr>
              <w:t>IRO</w:t>
            </w:r>
            <w:r w:rsidRPr="0051157C">
              <w:rPr>
                <w:rFonts w:ascii="Aptos" w:hAnsi="Aptos" w:cstheme="majorHAnsi"/>
              </w:rPr>
              <w:t xml:space="preserve">”) team within the KRA to evaluate all the information shared by taxpayers and to issue well-considered decisions within 60 days. As a result, the IRO may sometimes be compelled to issue a decision that does not take into account all relevant information, resulting into a miscarriage of justice and an unnecessary backlog of cases at the TAT. Neither of these outcomes were the desired effect of Section 51(11) of the TPA upon its enactment. </w:t>
            </w:r>
          </w:p>
          <w:p w14:paraId="642D8C89" w14:textId="77777777" w:rsidR="00A47F5B" w:rsidRPr="0051157C" w:rsidRDefault="00A47F5B" w:rsidP="00A47F5B">
            <w:pPr>
              <w:rPr>
                <w:rFonts w:ascii="Aptos" w:hAnsi="Aptos" w:cstheme="majorHAnsi"/>
              </w:rPr>
            </w:pPr>
          </w:p>
          <w:p w14:paraId="42754F71" w14:textId="2FC444C9" w:rsidR="00A47F5B" w:rsidRDefault="00A47F5B" w:rsidP="00A47F5B">
            <w:pPr>
              <w:rPr>
                <w:rFonts w:ascii="Aptos" w:hAnsi="Aptos" w:cstheme="majorHAnsi"/>
              </w:rPr>
            </w:pPr>
            <w:r w:rsidRPr="0051157C">
              <w:rPr>
                <w:rFonts w:ascii="Aptos" w:hAnsi="Aptos" w:cstheme="majorHAnsi"/>
              </w:rPr>
              <w:t>As such, we propose that the timeline for the issuance of an objection decision be extended from 6</w:t>
            </w:r>
            <w:r>
              <w:rPr>
                <w:rFonts w:ascii="Aptos" w:hAnsi="Aptos" w:cstheme="majorHAnsi"/>
              </w:rPr>
              <w:t>0</w:t>
            </w:r>
            <w:r w:rsidRPr="0051157C">
              <w:rPr>
                <w:rFonts w:ascii="Aptos" w:hAnsi="Aptos" w:cstheme="majorHAnsi"/>
              </w:rPr>
              <w:t xml:space="preserve"> days to 90 days, to afford both taxpayers and the IRO sufficient opportunity to close out tax disputes at the objection level, without the need for recourse to the judicial system.</w:t>
            </w:r>
          </w:p>
          <w:p w14:paraId="17657E79" w14:textId="77777777" w:rsidR="00A47F5B" w:rsidRDefault="00A47F5B" w:rsidP="00A47F5B">
            <w:pPr>
              <w:rPr>
                <w:rFonts w:ascii="Aptos" w:hAnsi="Aptos" w:cstheme="majorHAnsi"/>
              </w:rPr>
            </w:pPr>
          </w:p>
          <w:p w14:paraId="56B90D9A" w14:textId="5ED250CA" w:rsidR="00A47F5B" w:rsidRPr="004E2FA5" w:rsidRDefault="00A47F5B" w:rsidP="00A47F5B">
            <w:pPr>
              <w:jc w:val="both"/>
              <w:rPr>
                <w:rFonts w:ascii="Aptos" w:hAnsi="Aptos" w:cstheme="majorHAnsi"/>
              </w:rPr>
            </w:pPr>
            <w:r w:rsidRPr="004E2FA5">
              <w:rPr>
                <w:rFonts w:ascii="Aptos" w:hAnsi="Aptos" w:cstheme="majorHAnsi"/>
              </w:rPr>
              <w:t xml:space="preserve">We can also observe that many decisions at the TAT are based on non-provision of </w:t>
            </w:r>
            <w:r w:rsidRPr="004E2FA5">
              <w:rPr>
                <w:rFonts w:ascii="Aptos" w:hAnsi="Aptos" w:cstheme="majorHAnsi"/>
              </w:rPr>
              <w:lastRenderedPageBreak/>
              <w:t xml:space="preserve">records by a taxpayer. This is primarily occasioned by limitation in time the Commissioner grants taxpayers to support their case. </w:t>
            </w:r>
          </w:p>
          <w:p w14:paraId="06DFBAE5" w14:textId="7C27926D" w:rsidR="00A47F5B" w:rsidRPr="0051157C" w:rsidRDefault="00A47F5B" w:rsidP="00A47F5B">
            <w:pPr>
              <w:rPr>
                <w:rFonts w:ascii="Aptos" w:hAnsi="Aptos" w:cstheme="minorHAnsi"/>
              </w:rPr>
            </w:pPr>
          </w:p>
        </w:tc>
      </w:tr>
    </w:tbl>
    <w:p w14:paraId="283C83F0" w14:textId="77777777" w:rsidR="00C452FD" w:rsidRPr="001E35D3" w:rsidRDefault="00E827B6" w:rsidP="00C452FD">
      <w:pPr>
        <w:spacing w:after="0"/>
        <w:rPr>
          <w:rFonts w:ascii="Aptos" w:hAnsi="Aptos" w:cstheme="minorHAnsi"/>
          <w:b/>
          <w:szCs w:val="40"/>
        </w:rPr>
      </w:pPr>
      <w:r w:rsidRPr="001E35D3">
        <w:rPr>
          <w:rFonts w:ascii="Aptos" w:hAnsi="Aptos" w:cstheme="minorHAnsi"/>
          <w:b/>
          <w:szCs w:val="40"/>
        </w:rPr>
        <w:lastRenderedPageBreak/>
        <w:br w:type="textWrapping" w:clear="all"/>
      </w:r>
    </w:p>
    <w:p w14:paraId="61C948F2" w14:textId="77777777" w:rsidR="00D03389" w:rsidRPr="001E35D3" w:rsidRDefault="00D03389" w:rsidP="00D03389">
      <w:pPr>
        <w:spacing w:after="0"/>
        <w:rPr>
          <w:rFonts w:ascii="Aptos" w:hAnsi="Aptos" w:cstheme="minorHAnsi"/>
          <w:szCs w:val="40"/>
        </w:rPr>
      </w:pPr>
      <w:r w:rsidRPr="001E35D3">
        <w:rPr>
          <w:rFonts w:ascii="Aptos" w:hAnsi="Aptos" w:cstheme="minorHAnsi"/>
          <w:szCs w:val="40"/>
        </w:rPr>
        <w:t>Deloitte refers to one or more of Deloitte Touche Tohmatsu Limited, a UK private company limited by guarantee, and its network of member firms, each of which is a legally separate and independent entity. Please see www.deloitte.com/about for a detailed description of the legal structure of Deloitte Touche Tohmatsu Limited and its member firms.</w:t>
      </w:r>
    </w:p>
    <w:p w14:paraId="020044DC" w14:textId="77777777" w:rsidR="00D03389" w:rsidRPr="001E35D3" w:rsidRDefault="00D03389" w:rsidP="00D03389">
      <w:pPr>
        <w:spacing w:after="0"/>
        <w:rPr>
          <w:rFonts w:ascii="Aptos" w:hAnsi="Aptos" w:cstheme="minorHAnsi"/>
          <w:szCs w:val="40"/>
        </w:rPr>
      </w:pPr>
    </w:p>
    <w:p w14:paraId="4D88443D" w14:textId="30AA5668" w:rsidR="00A764B6" w:rsidRPr="001E35D3" w:rsidRDefault="00D03389">
      <w:pPr>
        <w:rPr>
          <w:rFonts w:ascii="Aptos" w:hAnsi="Aptos" w:cstheme="minorHAnsi"/>
          <w:b/>
        </w:rPr>
      </w:pPr>
      <w:r w:rsidRPr="001E35D3">
        <w:rPr>
          <w:rFonts w:ascii="Aptos" w:hAnsi="Aptos" w:cstheme="minorHAnsi"/>
          <w:szCs w:val="40"/>
        </w:rPr>
        <w:t>© 202</w:t>
      </w:r>
      <w:r w:rsidR="001E35D3">
        <w:rPr>
          <w:rFonts w:ascii="Aptos" w:hAnsi="Aptos" w:cstheme="minorHAnsi"/>
          <w:szCs w:val="40"/>
        </w:rPr>
        <w:t>5</w:t>
      </w:r>
      <w:r w:rsidRPr="001E35D3">
        <w:rPr>
          <w:rFonts w:ascii="Aptos" w:hAnsi="Aptos" w:cstheme="minorHAnsi"/>
          <w:szCs w:val="40"/>
        </w:rPr>
        <w:t xml:space="preserve"> Deloitte &amp; Touche</w:t>
      </w:r>
      <w:r w:rsidR="00BD598B" w:rsidRPr="001E35D3">
        <w:rPr>
          <w:rFonts w:ascii="Aptos" w:hAnsi="Aptos" w:cstheme="minorHAnsi"/>
          <w:szCs w:val="40"/>
        </w:rPr>
        <w:t xml:space="preserve"> LLP</w:t>
      </w:r>
    </w:p>
    <w:sectPr w:rsidR="00A764B6" w:rsidRPr="001E35D3" w:rsidSect="00933FEE">
      <w:headerReference w:type="default" r:id="rId24"/>
      <w:footerReference w:type="first" r:id="rId25"/>
      <w:pgSz w:w="16838" w:h="11906" w:orient="landscape" w:code="9"/>
      <w:pgMar w:top="1437" w:right="709" w:bottom="1440" w:left="1440" w:header="709" w:footer="709" w:gutter="0"/>
      <w:pgBorders w:offsetFrom="page">
        <w:top w:val="single" w:sz="4" w:space="24" w:color="92D050"/>
        <w:left w:val="single" w:sz="4" w:space="24" w:color="92D050"/>
        <w:bottom w:val="single" w:sz="4" w:space="24" w:color="92D050"/>
        <w:right w:val="single" w:sz="4" w:space="24" w:color="92D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81A59" w14:textId="77777777" w:rsidR="00736024" w:rsidRDefault="00736024" w:rsidP="00E219E4">
      <w:pPr>
        <w:spacing w:after="0" w:line="240" w:lineRule="auto"/>
      </w:pPr>
      <w:r>
        <w:separator/>
      </w:r>
    </w:p>
  </w:endnote>
  <w:endnote w:type="continuationSeparator" w:id="0">
    <w:p w14:paraId="5C2F28A4" w14:textId="77777777" w:rsidR="00736024" w:rsidRDefault="00736024" w:rsidP="00E219E4">
      <w:pPr>
        <w:spacing w:after="0" w:line="240" w:lineRule="auto"/>
      </w:pPr>
      <w:r>
        <w:continuationSeparator/>
      </w:r>
    </w:p>
  </w:endnote>
  <w:endnote w:type="continuationNotice" w:id="1">
    <w:p w14:paraId="13882C79" w14:textId="77777777" w:rsidR="00736024" w:rsidRDefault="007360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PTSerif-Regular">
    <w:altName w:val="Arial"/>
    <w:panose1 w:val="00000000000000000000"/>
    <w:charset w:val="00"/>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3932305"/>
      <w:docPartObj>
        <w:docPartGallery w:val="Page Numbers (Bottom of Page)"/>
        <w:docPartUnique/>
      </w:docPartObj>
    </w:sdtPr>
    <w:sdtEndPr>
      <w:rPr>
        <w:noProof/>
      </w:rPr>
    </w:sdtEndPr>
    <w:sdtContent>
      <w:p w14:paraId="049CA45A" w14:textId="740A3D35" w:rsidR="00563E91" w:rsidRDefault="00563E9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5C4BFFE" w14:textId="77777777" w:rsidR="004B5417" w:rsidRDefault="004B54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5672" w14:textId="3FC8A70A" w:rsidR="002D486D" w:rsidRPr="009316EB" w:rsidRDefault="002D486D" w:rsidP="009316EB">
    <w:pPr>
      <w:pStyle w:val="Footer"/>
      <w:tabs>
        <w:tab w:val="clear" w:pos="4513"/>
        <w:tab w:val="clear" w:pos="9026"/>
        <w:tab w:val="left" w:pos="8256"/>
      </w:tabs>
      <w:rPr>
        <w:rFonts w:ascii="Calibri Light" w:hAnsi="Calibri Light" w:cs="Calibri Light"/>
        <w:sz w:val="12"/>
        <w:szCs w:val="12"/>
      </w:rPr>
    </w:pPr>
    <w:r w:rsidRPr="009316EB">
      <w:rPr>
        <w:rFonts w:asciiTheme="majorHAnsi" w:hAnsiTheme="majorHAnsi" w:cstheme="majorHAnsi"/>
        <w:noProof/>
        <w:sz w:val="12"/>
        <w:szCs w:val="12"/>
      </w:rPr>
      <w:drawing>
        <wp:inline distT="0" distB="0" distL="0" distR="0" wp14:anchorId="248F69B7" wp14:editId="2CD74542">
          <wp:extent cx="1039495" cy="953770"/>
          <wp:effectExtent l="0" t="0" r="8255"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a:extLst>
                      <a:ext uri="{28A0092B-C50C-407E-A947-70E740481C1C}">
                        <a14:useLocalDpi xmlns:a14="http://schemas.microsoft.com/office/drawing/2010/main" val="0"/>
                      </a:ext>
                    </a:extLst>
                  </a:blip>
                  <a:srcRect t="-3726" b="-1"/>
                  <a:stretch/>
                </pic:blipFill>
                <pic:spPr bwMode="auto">
                  <a:xfrm>
                    <a:off x="0" y="0"/>
                    <a:ext cx="1039495" cy="953770"/>
                  </a:xfrm>
                  <a:prstGeom prst="rect">
                    <a:avLst/>
                  </a:prstGeom>
                  <a:ln>
                    <a:noFill/>
                  </a:ln>
                  <a:extLst>
                    <a:ext uri="{53640926-AAD7-44D8-BBD7-CCE9431645EC}">
                      <a14:shadowObscured xmlns:a14="http://schemas.microsoft.com/office/drawing/2010/main"/>
                    </a:ext>
                  </a:extLst>
                </pic:spPr>
              </pic:pic>
            </a:graphicData>
          </a:graphic>
        </wp:inline>
      </w:drawing>
    </w:r>
    <w:r w:rsidR="00E26554">
      <w:rPr>
        <w:rFonts w:ascii="Calibri Light" w:hAnsi="Calibri Light" w:cs="Calibri Light"/>
        <w:sz w:val="12"/>
        <w:szCs w:val="12"/>
      </w:rPr>
      <w:tab/>
    </w:r>
  </w:p>
  <w:p w14:paraId="5C034A40" w14:textId="0261A5BD" w:rsidR="002D486D" w:rsidRPr="009316EB" w:rsidRDefault="002D486D" w:rsidP="002D486D">
    <w:pPr>
      <w:pStyle w:val="Footer"/>
      <w:spacing w:line="150" w:lineRule="exact"/>
      <w:ind w:right="230"/>
      <w:rPr>
        <w:rFonts w:ascii="Calibri Light" w:hAnsi="Calibri Light" w:cs="Calibri Light"/>
        <w:sz w:val="12"/>
        <w:szCs w:val="12"/>
      </w:rPr>
    </w:pPr>
    <w:r w:rsidRPr="009316EB">
      <w:rPr>
        <w:rFonts w:ascii="Calibri Light" w:hAnsi="Calibri Light" w:cs="Calibri Light"/>
        <w:sz w:val="12"/>
        <w:szCs w:val="12"/>
      </w:rPr>
      <w:t>Partners: D.M. Mbogho; A.N. Muraya; F. O. Aloo; B.W. Irungu; I. Karim; F. Okwiri; F.O Omondi; F. Mitambo; P. Seroney; D. Waweru; C Luo.</w:t>
    </w:r>
  </w:p>
  <w:p w14:paraId="05445664" w14:textId="77777777" w:rsidR="002D486D" w:rsidRPr="009316EB" w:rsidRDefault="002D486D" w:rsidP="002D486D">
    <w:pPr>
      <w:pStyle w:val="Footer"/>
      <w:spacing w:line="150" w:lineRule="exact"/>
      <w:ind w:right="230"/>
      <w:rPr>
        <w:rFonts w:ascii="Calibri Light" w:hAnsi="Calibri Light" w:cs="Calibri Light"/>
        <w:sz w:val="12"/>
        <w:szCs w:val="12"/>
      </w:rPr>
    </w:pPr>
  </w:p>
  <w:p w14:paraId="29B2E557" w14:textId="77777777" w:rsidR="002D486D" w:rsidRPr="009316EB" w:rsidRDefault="002D486D" w:rsidP="002D486D">
    <w:pPr>
      <w:pStyle w:val="Footer"/>
      <w:spacing w:line="150" w:lineRule="exact"/>
      <w:ind w:right="230"/>
      <w:rPr>
        <w:rFonts w:ascii="Calibri Light" w:hAnsi="Calibri Light" w:cs="Calibri Light"/>
        <w:sz w:val="12"/>
        <w:szCs w:val="12"/>
      </w:rPr>
    </w:pPr>
    <w:r w:rsidRPr="009316EB">
      <w:rPr>
        <w:rFonts w:ascii="Calibri Light" w:hAnsi="Calibri Light" w:cs="Calibri Light"/>
        <w:sz w:val="12"/>
        <w:szCs w:val="12"/>
      </w:rPr>
      <w:t>Deloitte &amp; Touche, a partnership with registration No. 177912, converted to Deloitte &amp; Touche LLP Registration No. LLP-A21DDP effective 14 June 2021.</w:t>
    </w:r>
  </w:p>
  <w:p w14:paraId="4F14F81F" w14:textId="77777777" w:rsidR="002D486D" w:rsidRPr="009316EB" w:rsidRDefault="002D486D" w:rsidP="002D486D">
    <w:pPr>
      <w:pStyle w:val="Footer"/>
      <w:spacing w:line="150" w:lineRule="exact"/>
      <w:ind w:right="230"/>
      <w:rPr>
        <w:rFonts w:ascii="Calibri Light" w:hAnsi="Calibri Light" w:cs="Calibri Light"/>
        <w:sz w:val="12"/>
        <w:szCs w:val="12"/>
      </w:rPr>
    </w:pPr>
  </w:p>
  <w:p w14:paraId="727F9BF8" w14:textId="77777777" w:rsidR="002D486D" w:rsidRPr="009316EB" w:rsidRDefault="002D486D" w:rsidP="002D486D">
    <w:pPr>
      <w:pStyle w:val="Footer"/>
      <w:rPr>
        <w:rFonts w:ascii="Calibri Light" w:hAnsi="Calibri Light" w:cs="Calibri Light"/>
        <w:sz w:val="12"/>
        <w:szCs w:val="12"/>
      </w:rPr>
    </w:pPr>
    <w:r w:rsidRPr="009316EB">
      <w:rPr>
        <w:rFonts w:ascii="Calibri Light" w:hAnsi="Calibri Light" w:cs="Calibri Light"/>
        <w:sz w:val="12"/>
        <w:szCs w:val="12"/>
      </w:rPr>
      <w:t>Associate of Deloitte Africa, a Member of Deloitte Touche Tohmatsu Limited.</w:t>
    </w:r>
  </w:p>
  <w:p w14:paraId="5A655A77" w14:textId="77777777" w:rsidR="006D4C6D" w:rsidRPr="009316EB" w:rsidRDefault="006D4C6D" w:rsidP="00DF6F71">
    <w:pPr>
      <w:pStyle w:val="Footer"/>
      <w:rPr>
        <w:sz w:val="12"/>
        <w:szCs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13C73" w14:textId="77777777" w:rsidR="002816ED" w:rsidRPr="009316EB" w:rsidRDefault="002816ED" w:rsidP="00DF6F71">
    <w:pPr>
      <w:pStyle w:val="Footer"/>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FB309" w14:textId="77777777" w:rsidR="00736024" w:rsidRDefault="00736024" w:rsidP="00E219E4">
      <w:pPr>
        <w:spacing w:after="0" w:line="240" w:lineRule="auto"/>
      </w:pPr>
      <w:r>
        <w:separator/>
      </w:r>
    </w:p>
  </w:footnote>
  <w:footnote w:type="continuationSeparator" w:id="0">
    <w:p w14:paraId="50B7D799" w14:textId="77777777" w:rsidR="00736024" w:rsidRDefault="00736024" w:rsidP="00E219E4">
      <w:pPr>
        <w:spacing w:after="0" w:line="240" w:lineRule="auto"/>
      </w:pPr>
      <w:r>
        <w:continuationSeparator/>
      </w:r>
    </w:p>
  </w:footnote>
  <w:footnote w:type="continuationNotice" w:id="1">
    <w:p w14:paraId="49DE793A" w14:textId="77777777" w:rsidR="00736024" w:rsidRDefault="007360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94F46" w14:textId="77777777" w:rsidR="00242F0A" w:rsidRDefault="00242F0A" w:rsidP="00242F0A">
    <w:pPr>
      <w:pStyle w:val="Header"/>
    </w:pPr>
    <w:r>
      <w:rPr>
        <w:rFonts w:asciiTheme="majorHAnsi" w:hAnsiTheme="majorHAnsi" w:cstheme="majorHAnsi"/>
        <w:b/>
        <w:szCs w:val="40"/>
      </w:rPr>
      <w:t xml:space="preserve">Appendix: Submissions by Deloitte &amp; Touch LLP </w:t>
    </w:r>
    <w:r w:rsidRPr="002050DD">
      <w:rPr>
        <w:rFonts w:asciiTheme="majorHAnsi" w:hAnsiTheme="majorHAnsi" w:cstheme="majorHAnsi"/>
        <w:b/>
        <w:szCs w:val="40"/>
      </w:rPr>
      <w:t>f</w:t>
    </w:r>
    <w:r>
      <w:rPr>
        <w:rFonts w:asciiTheme="majorHAnsi" w:hAnsiTheme="majorHAnsi" w:cstheme="majorHAnsi"/>
        <w:b/>
        <w:szCs w:val="40"/>
      </w:rPr>
      <w:t>or</w:t>
    </w:r>
    <w:r w:rsidRPr="002050DD">
      <w:rPr>
        <w:rFonts w:asciiTheme="majorHAnsi" w:hAnsiTheme="majorHAnsi" w:cstheme="majorHAnsi"/>
        <w:b/>
        <w:szCs w:val="40"/>
      </w:rPr>
      <w:t xml:space="preserve"> consideration by the National Assembly on The Finance Bill (National Assembly Bill No. 22 of 2022)</w:t>
    </w:r>
  </w:p>
  <w:p w14:paraId="59501760" w14:textId="0CBBE8B3" w:rsidR="00DA6DF8" w:rsidRDefault="00DA6DF8">
    <w:pPr>
      <w:pStyle w:val="Header"/>
    </w:pPr>
  </w:p>
  <w:p w14:paraId="1A375B1D" w14:textId="77777777" w:rsidR="00956F8A" w:rsidRDefault="00956F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0268A" w14:textId="249F1618" w:rsidR="002E1C9F" w:rsidRDefault="002E1C9F" w:rsidP="009316EB">
    <w:pPr>
      <w:pStyle w:val="Header"/>
      <w:tabs>
        <w:tab w:val="clear" w:pos="4513"/>
        <w:tab w:val="left" w:pos="9026"/>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CCD8E" w14:textId="7EBCDDEA" w:rsidR="00242F0A" w:rsidRPr="008F1112" w:rsidRDefault="000629AA" w:rsidP="008F1112">
    <w:pPr>
      <w:spacing w:after="0"/>
      <w:rPr>
        <w:rFonts w:ascii="Aptos" w:hAnsi="Aptos" w:cstheme="majorHAnsi"/>
        <w:b/>
        <w:szCs w:val="40"/>
      </w:rPr>
    </w:pPr>
    <w:r w:rsidRPr="008F1112">
      <w:rPr>
        <w:rFonts w:ascii="Aptos" w:hAnsi="Aptos" w:cstheme="majorHAnsi"/>
        <w:b/>
        <w:szCs w:val="40"/>
      </w:rPr>
      <w:t xml:space="preserve">Appendix: Submissions by Deloitte &amp; Touch LLP for consideration by the National Assembly on </w:t>
    </w:r>
    <w:r w:rsidR="003F5B49" w:rsidRPr="008F1112">
      <w:rPr>
        <w:rFonts w:ascii="Aptos" w:hAnsi="Aptos" w:cstheme="majorHAnsi"/>
        <w:b/>
        <w:szCs w:val="40"/>
      </w:rPr>
      <w:t xml:space="preserve">the </w:t>
    </w:r>
    <w:r w:rsidR="008F1112">
      <w:rPr>
        <w:rFonts w:ascii="Aptos" w:hAnsi="Aptos" w:cstheme="majorHAnsi"/>
        <w:b/>
        <w:szCs w:val="40"/>
      </w:rPr>
      <w:t>Finance Bill, 2025</w:t>
    </w:r>
    <w:r w:rsidR="003F5B49" w:rsidRPr="008F1112">
      <w:rPr>
        <w:rFonts w:ascii="Aptos" w:hAnsi="Aptos" w:cstheme="majorHAnsi"/>
        <w:b/>
        <w:szCs w:val="40"/>
      </w:rPr>
      <w:t xml:space="preserve"> (National Assembly Bill No. </w:t>
    </w:r>
    <w:r w:rsidR="008F1112">
      <w:rPr>
        <w:rFonts w:ascii="Aptos" w:hAnsi="Aptos" w:cstheme="majorHAnsi"/>
        <w:b/>
        <w:szCs w:val="40"/>
      </w:rPr>
      <w:t>19</w:t>
    </w:r>
    <w:r w:rsidR="003F5B49" w:rsidRPr="008F1112">
      <w:rPr>
        <w:rFonts w:ascii="Aptos" w:hAnsi="Aptos" w:cstheme="majorHAnsi"/>
        <w:b/>
        <w:szCs w:val="40"/>
      </w:rPr>
      <w:t xml:space="preserve"> of 202</w:t>
    </w:r>
    <w:r w:rsidR="008F1112">
      <w:rPr>
        <w:rFonts w:ascii="Aptos" w:hAnsi="Aptos" w:cstheme="majorHAnsi"/>
        <w:b/>
        <w:szCs w:val="40"/>
      </w:rPr>
      <w:t>5</w:t>
    </w:r>
    <w:r w:rsidR="003F5B49" w:rsidRPr="008F1112">
      <w:rPr>
        <w:rFonts w:ascii="Aptos" w:hAnsi="Aptos" w:cstheme="majorHAnsi"/>
        <w:b/>
        <w:szCs w:val="4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0A41CD"/>
    <w:multiLevelType w:val="hybridMultilevel"/>
    <w:tmpl w:val="E60A896E"/>
    <w:lvl w:ilvl="0" w:tplc="1000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7533604"/>
    <w:multiLevelType w:val="hybridMultilevel"/>
    <w:tmpl w:val="CB702F64"/>
    <w:lvl w:ilvl="0" w:tplc="B1C67988">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3B6C5236"/>
    <w:multiLevelType w:val="hybridMultilevel"/>
    <w:tmpl w:val="3D10176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06C2FFD"/>
    <w:multiLevelType w:val="hybridMultilevel"/>
    <w:tmpl w:val="FE7A5B82"/>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 w15:restartNumberingAfterBreak="0">
    <w:nsid w:val="43857B4A"/>
    <w:multiLevelType w:val="hybridMultilevel"/>
    <w:tmpl w:val="511871FE"/>
    <w:lvl w:ilvl="0" w:tplc="10000011">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472651A9"/>
    <w:multiLevelType w:val="hybridMultilevel"/>
    <w:tmpl w:val="E96C8C8C"/>
    <w:lvl w:ilvl="0" w:tplc="A0B277B0">
      <w:start w:val="1"/>
      <w:numFmt w:val="bullet"/>
      <w:lvlText w:val="-"/>
      <w:lvlJc w:val="left"/>
      <w:pPr>
        <w:ind w:left="720" w:hanging="360"/>
      </w:pPr>
      <w:rPr>
        <w:rFonts w:ascii="Calibri Light" w:eastAsia="Times New Roman" w:hAnsi="Calibri Light" w:cs="Calibri Light"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4FD15C48"/>
    <w:multiLevelType w:val="hybridMultilevel"/>
    <w:tmpl w:val="DEA02076"/>
    <w:lvl w:ilvl="0" w:tplc="10000011">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536C3087"/>
    <w:multiLevelType w:val="hybridMultilevel"/>
    <w:tmpl w:val="B3425DA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56AD76AA"/>
    <w:multiLevelType w:val="hybridMultilevel"/>
    <w:tmpl w:val="FDFE879C"/>
    <w:lvl w:ilvl="0" w:tplc="0C00000F">
      <w:start w:val="1"/>
      <w:numFmt w:val="decimal"/>
      <w:lvlText w:val="%1."/>
      <w:lvlJc w:val="left"/>
      <w:pPr>
        <w:ind w:left="360" w:hanging="360"/>
      </w:pPr>
      <w:rPr>
        <w:rFonts w:hint="default"/>
      </w:rPr>
    </w:lvl>
    <w:lvl w:ilvl="1" w:tplc="0C000019" w:tentative="1">
      <w:start w:val="1"/>
      <w:numFmt w:val="lowerLetter"/>
      <w:lvlText w:val="%2."/>
      <w:lvlJc w:val="left"/>
      <w:pPr>
        <w:ind w:left="1080" w:hanging="360"/>
      </w:pPr>
    </w:lvl>
    <w:lvl w:ilvl="2" w:tplc="0C00001B" w:tentative="1">
      <w:start w:val="1"/>
      <w:numFmt w:val="lowerRoman"/>
      <w:lvlText w:val="%3."/>
      <w:lvlJc w:val="right"/>
      <w:pPr>
        <w:ind w:left="1800" w:hanging="180"/>
      </w:pPr>
    </w:lvl>
    <w:lvl w:ilvl="3" w:tplc="0C00000F" w:tentative="1">
      <w:start w:val="1"/>
      <w:numFmt w:val="decimal"/>
      <w:lvlText w:val="%4."/>
      <w:lvlJc w:val="left"/>
      <w:pPr>
        <w:ind w:left="2520" w:hanging="360"/>
      </w:pPr>
    </w:lvl>
    <w:lvl w:ilvl="4" w:tplc="0C000019" w:tentative="1">
      <w:start w:val="1"/>
      <w:numFmt w:val="lowerLetter"/>
      <w:lvlText w:val="%5."/>
      <w:lvlJc w:val="left"/>
      <w:pPr>
        <w:ind w:left="3240" w:hanging="360"/>
      </w:pPr>
    </w:lvl>
    <w:lvl w:ilvl="5" w:tplc="0C00001B" w:tentative="1">
      <w:start w:val="1"/>
      <w:numFmt w:val="lowerRoman"/>
      <w:lvlText w:val="%6."/>
      <w:lvlJc w:val="right"/>
      <w:pPr>
        <w:ind w:left="3960" w:hanging="180"/>
      </w:pPr>
    </w:lvl>
    <w:lvl w:ilvl="6" w:tplc="0C00000F" w:tentative="1">
      <w:start w:val="1"/>
      <w:numFmt w:val="decimal"/>
      <w:lvlText w:val="%7."/>
      <w:lvlJc w:val="left"/>
      <w:pPr>
        <w:ind w:left="4680" w:hanging="360"/>
      </w:pPr>
    </w:lvl>
    <w:lvl w:ilvl="7" w:tplc="0C000019" w:tentative="1">
      <w:start w:val="1"/>
      <w:numFmt w:val="lowerLetter"/>
      <w:lvlText w:val="%8."/>
      <w:lvlJc w:val="left"/>
      <w:pPr>
        <w:ind w:left="5400" w:hanging="360"/>
      </w:pPr>
    </w:lvl>
    <w:lvl w:ilvl="8" w:tplc="0C00001B" w:tentative="1">
      <w:start w:val="1"/>
      <w:numFmt w:val="lowerRoman"/>
      <w:lvlText w:val="%9."/>
      <w:lvlJc w:val="right"/>
      <w:pPr>
        <w:ind w:left="6120" w:hanging="180"/>
      </w:pPr>
    </w:lvl>
  </w:abstractNum>
  <w:abstractNum w:abstractNumId="9" w15:restartNumberingAfterBreak="0">
    <w:nsid w:val="57192D8F"/>
    <w:multiLevelType w:val="hybridMultilevel"/>
    <w:tmpl w:val="3D10176A"/>
    <w:lvl w:ilvl="0" w:tplc="B31E292E">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584A6702"/>
    <w:multiLevelType w:val="hybridMultilevel"/>
    <w:tmpl w:val="FD7E5CC4"/>
    <w:lvl w:ilvl="0" w:tplc="0C000001">
      <w:start w:val="1"/>
      <w:numFmt w:val="bullet"/>
      <w:lvlText w:val=""/>
      <w:lvlJc w:val="left"/>
      <w:pPr>
        <w:ind w:left="360" w:hanging="360"/>
      </w:pPr>
      <w:rPr>
        <w:rFonts w:ascii="Symbol" w:hAnsi="Symbol" w:hint="default"/>
      </w:rPr>
    </w:lvl>
    <w:lvl w:ilvl="1" w:tplc="0C000003" w:tentative="1">
      <w:start w:val="1"/>
      <w:numFmt w:val="bullet"/>
      <w:lvlText w:val="o"/>
      <w:lvlJc w:val="left"/>
      <w:pPr>
        <w:ind w:left="1080" w:hanging="360"/>
      </w:pPr>
      <w:rPr>
        <w:rFonts w:ascii="Courier New" w:hAnsi="Courier New" w:cs="Courier New" w:hint="default"/>
      </w:rPr>
    </w:lvl>
    <w:lvl w:ilvl="2" w:tplc="0C000005" w:tentative="1">
      <w:start w:val="1"/>
      <w:numFmt w:val="bullet"/>
      <w:lvlText w:val=""/>
      <w:lvlJc w:val="left"/>
      <w:pPr>
        <w:ind w:left="1800" w:hanging="360"/>
      </w:pPr>
      <w:rPr>
        <w:rFonts w:ascii="Wingdings" w:hAnsi="Wingdings" w:hint="default"/>
      </w:rPr>
    </w:lvl>
    <w:lvl w:ilvl="3" w:tplc="0C000001" w:tentative="1">
      <w:start w:val="1"/>
      <w:numFmt w:val="bullet"/>
      <w:lvlText w:val=""/>
      <w:lvlJc w:val="left"/>
      <w:pPr>
        <w:ind w:left="2520" w:hanging="360"/>
      </w:pPr>
      <w:rPr>
        <w:rFonts w:ascii="Symbol" w:hAnsi="Symbol" w:hint="default"/>
      </w:rPr>
    </w:lvl>
    <w:lvl w:ilvl="4" w:tplc="0C000003" w:tentative="1">
      <w:start w:val="1"/>
      <w:numFmt w:val="bullet"/>
      <w:lvlText w:val="o"/>
      <w:lvlJc w:val="left"/>
      <w:pPr>
        <w:ind w:left="3240" w:hanging="360"/>
      </w:pPr>
      <w:rPr>
        <w:rFonts w:ascii="Courier New" w:hAnsi="Courier New" w:cs="Courier New" w:hint="default"/>
      </w:rPr>
    </w:lvl>
    <w:lvl w:ilvl="5" w:tplc="0C000005" w:tentative="1">
      <w:start w:val="1"/>
      <w:numFmt w:val="bullet"/>
      <w:lvlText w:val=""/>
      <w:lvlJc w:val="left"/>
      <w:pPr>
        <w:ind w:left="3960" w:hanging="360"/>
      </w:pPr>
      <w:rPr>
        <w:rFonts w:ascii="Wingdings" w:hAnsi="Wingdings" w:hint="default"/>
      </w:rPr>
    </w:lvl>
    <w:lvl w:ilvl="6" w:tplc="0C000001" w:tentative="1">
      <w:start w:val="1"/>
      <w:numFmt w:val="bullet"/>
      <w:lvlText w:val=""/>
      <w:lvlJc w:val="left"/>
      <w:pPr>
        <w:ind w:left="4680" w:hanging="360"/>
      </w:pPr>
      <w:rPr>
        <w:rFonts w:ascii="Symbol" w:hAnsi="Symbol" w:hint="default"/>
      </w:rPr>
    </w:lvl>
    <w:lvl w:ilvl="7" w:tplc="0C000003" w:tentative="1">
      <w:start w:val="1"/>
      <w:numFmt w:val="bullet"/>
      <w:lvlText w:val="o"/>
      <w:lvlJc w:val="left"/>
      <w:pPr>
        <w:ind w:left="5400" w:hanging="360"/>
      </w:pPr>
      <w:rPr>
        <w:rFonts w:ascii="Courier New" w:hAnsi="Courier New" w:cs="Courier New" w:hint="default"/>
      </w:rPr>
    </w:lvl>
    <w:lvl w:ilvl="8" w:tplc="0C000005" w:tentative="1">
      <w:start w:val="1"/>
      <w:numFmt w:val="bullet"/>
      <w:lvlText w:val=""/>
      <w:lvlJc w:val="left"/>
      <w:pPr>
        <w:ind w:left="6120" w:hanging="360"/>
      </w:pPr>
      <w:rPr>
        <w:rFonts w:ascii="Wingdings" w:hAnsi="Wingdings" w:hint="default"/>
      </w:rPr>
    </w:lvl>
  </w:abstractNum>
  <w:abstractNum w:abstractNumId="11" w15:restartNumberingAfterBreak="0">
    <w:nsid w:val="62CA384D"/>
    <w:multiLevelType w:val="hybridMultilevel"/>
    <w:tmpl w:val="FD4600E0"/>
    <w:lvl w:ilvl="0" w:tplc="330A78F6">
      <w:start w:val="1"/>
      <w:numFmt w:val="lowerLetter"/>
      <w:lvlText w:val="%1)"/>
      <w:lvlJc w:val="left"/>
      <w:pPr>
        <w:ind w:left="720" w:hanging="360"/>
      </w:pPr>
      <w:rPr>
        <w:rFonts w:hint="default"/>
        <w:b/>
        <w:bCs w:val="0"/>
        <w:color w:val="auto"/>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2" w15:restartNumberingAfterBreak="0">
    <w:nsid w:val="68BF21DA"/>
    <w:multiLevelType w:val="hybridMultilevel"/>
    <w:tmpl w:val="B178CBAE"/>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714D6415"/>
    <w:multiLevelType w:val="hybridMultilevel"/>
    <w:tmpl w:val="78745CA0"/>
    <w:lvl w:ilvl="0" w:tplc="10000011">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4" w15:restartNumberingAfterBreak="0">
    <w:nsid w:val="73CA684E"/>
    <w:multiLevelType w:val="hybridMultilevel"/>
    <w:tmpl w:val="7FD817DE"/>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5" w15:restartNumberingAfterBreak="0">
    <w:nsid w:val="75674783"/>
    <w:multiLevelType w:val="hybridMultilevel"/>
    <w:tmpl w:val="50EE4F76"/>
    <w:lvl w:ilvl="0" w:tplc="10000011">
      <w:start w:val="1"/>
      <w:numFmt w:val="decimal"/>
      <w:lvlText w:val="%1)"/>
      <w:lvlJc w:val="left"/>
      <w:pPr>
        <w:ind w:left="1080" w:hanging="360"/>
      </w:p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6" w15:restartNumberingAfterBreak="0">
    <w:nsid w:val="75D945E6"/>
    <w:multiLevelType w:val="hybridMultilevel"/>
    <w:tmpl w:val="BBB47B6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7" w15:restartNumberingAfterBreak="0">
    <w:nsid w:val="7B216CDD"/>
    <w:multiLevelType w:val="hybridMultilevel"/>
    <w:tmpl w:val="DB748F5A"/>
    <w:lvl w:ilvl="0" w:tplc="20000001">
      <w:start w:val="1"/>
      <w:numFmt w:val="bullet"/>
      <w:lvlText w:val=""/>
      <w:lvlJc w:val="left"/>
      <w:pPr>
        <w:ind w:left="360" w:hanging="360"/>
      </w:pPr>
      <w:rPr>
        <w:rFonts w:ascii="Symbol" w:hAnsi="Symbol" w:hint="default"/>
      </w:rPr>
    </w:lvl>
    <w:lvl w:ilvl="1" w:tplc="20000003">
      <w:start w:val="1"/>
      <w:numFmt w:val="bullet"/>
      <w:lvlText w:val="o"/>
      <w:lvlJc w:val="left"/>
      <w:pPr>
        <w:ind w:left="1080" w:hanging="360"/>
      </w:pPr>
      <w:rPr>
        <w:rFonts w:ascii="Courier New" w:hAnsi="Courier New" w:cs="Courier New" w:hint="default"/>
      </w:rPr>
    </w:lvl>
    <w:lvl w:ilvl="2" w:tplc="20000005">
      <w:start w:val="1"/>
      <w:numFmt w:val="bullet"/>
      <w:lvlText w:val=""/>
      <w:lvlJc w:val="left"/>
      <w:pPr>
        <w:ind w:left="1800" w:hanging="360"/>
      </w:pPr>
      <w:rPr>
        <w:rFonts w:ascii="Wingdings" w:hAnsi="Wingdings" w:hint="default"/>
      </w:rPr>
    </w:lvl>
    <w:lvl w:ilvl="3" w:tplc="20000001">
      <w:start w:val="1"/>
      <w:numFmt w:val="bullet"/>
      <w:lvlText w:val=""/>
      <w:lvlJc w:val="left"/>
      <w:pPr>
        <w:ind w:left="2520" w:hanging="360"/>
      </w:pPr>
      <w:rPr>
        <w:rFonts w:ascii="Symbol" w:hAnsi="Symbol" w:hint="default"/>
      </w:rPr>
    </w:lvl>
    <w:lvl w:ilvl="4" w:tplc="20000003">
      <w:start w:val="1"/>
      <w:numFmt w:val="bullet"/>
      <w:lvlText w:val="o"/>
      <w:lvlJc w:val="left"/>
      <w:pPr>
        <w:ind w:left="3240" w:hanging="360"/>
      </w:pPr>
      <w:rPr>
        <w:rFonts w:ascii="Courier New" w:hAnsi="Courier New" w:cs="Courier New" w:hint="default"/>
      </w:rPr>
    </w:lvl>
    <w:lvl w:ilvl="5" w:tplc="20000005">
      <w:start w:val="1"/>
      <w:numFmt w:val="bullet"/>
      <w:lvlText w:val=""/>
      <w:lvlJc w:val="left"/>
      <w:pPr>
        <w:ind w:left="3960" w:hanging="360"/>
      </w:pPr>
      <w:rPr>
        <w:rFonts w:ascii="Wingdings" w:hAnsi="Wingdings" w:hint="default"/>
      </w:rPr>
    </w:lvl>
    <w:lvl w:ilvl="6" w:tplc="20000001">
      <w:start w:val="1"/>
      <w:numFmt w:val="bullet"/>
      <w:lvlText w:val=""/>
      <w:lvlJc w:val="left"/>
      <w:pPr>
        <w:ind w:left="4680" w:hanging="360"/>
      </w:pPr>
      <w:rPr>
        <w:rFonts w:ascii="Symbol" w:hAnsi="Symbol" w:hint="default"/>
      </w:rPr>
    </w:lvl>
    <w:lvl w:ilvl="7" w:tplc="20000003">
      <w:start w:val="1"/>
      <w:numFmt w:val="bullet"/>
      <w:lvlText w:val="o"/>
      <w:lvlJc w:val="left"/>
      <w:pPr>
        <w:ind w:left="5400" w:hanging="360"/>
      </w:pPr>
      <w:rPr>
        <w:rFonts w:ascii="Courier New" w:hAnsi="Courier New" w:cs="Courier New" w:hint="default"/>
      </w:rPr>
    </w:lvl>
    <w:lvl w:ilvl="8" w:tplc="20000005">
      <w:start w:val="1"/>
      <w:numFmt w:val="bullet"/>
      <w:lvlText w:val=""/>
      <w:lvlJc w:val="left"/>
      <w:pPr>
        <w:ind w:left="6120" w:hanging="360"/>
      </w:pPr>
      <w:rPr>
        <w:rFonts w:ascii="Wingdings" w:hAnsi="Wingdings" w:hint="default"/>
      </w:rPr>
    </w:lvl>
  </w:abstractNum>
  <w:num w:numId="1" w16cid:durableId="726954378">
    <w:abstractNumId w:val="8"/>
  </w:num>
  <w:num w:numId="2" w16cid:durableId="1032539852">
    <w:abstractNumId w:val="11"/>
  </w:num>
  <w:num w:numId="3" w16cid:durableId="1494680892">
    <w:abstractNumId w:val="14"/>
  </w:num>
  <w:num w:numId="4" w16cid:durableId="1923299317">
    <w:abstractNumId w:val="15"/>
  </w:num>
  <w:num w:numId="5" w16cid:durableId="159541147">
    <w:abstractNumId w:val="16"/>
  </w:num>
  <w:num w:numId="6" w16cid:durableId="441992469">
    <w:abstractNumId w:val="0"/>
  </w:num>
  <w:num w:numId="7" w16cid:durableId="211961629">
    <w:abstractNumId w:val="12"/>
  </w:num>
  <w:num w:numId="8" w16cid:durableId="919871686">
    <w:abstractNumId w:val="13"/>
  </w:num>
  <w:num w:numId="9" w16cid:durableId="42875799">
    <w:abstractNumId w:val="3"/>
  </w:num>
  <w:num w:numId="10" w16cid:durableId="913969921">
    <w:abstractNumId w:val="6"/>
  </w:num>
  <w:num w:numId="11" w16cid:durableId="1432511963">
    <w:abstractNumId w:val="4"/>
  </w:num>
  <w:num w:numId="12" w16cid:durableId="362707937">
    <w:abstractNumId w:val="1"/>
  </w:num>
  <w:num w:numId="13" w16cid:durableId="697389043">
    <w:abstractNumId w:val="10"/>
  </w:num>
  <w:num w:numId="14" w16cid:durableId="480315056">
    <w:abstractNumId w:val="17"/>
  </w:num>
  <w:num w:numId="15" w16cid:durableId="1928032581">
    <w:abstractNumId w:val="5"/>
  </w:num>
  <w:num w:numId="16" w16cid:durableId="1352335745">
    <w:abstractNumId w:val="7"/>
  </w:num>
  <w:num w:numId="17" w16cid:durableId="1434327143">
    <w:abstractNumId w:val="9"/>
  </w:num>
  <w:num w:numId="18" w16cid:durableId="390152930">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0FA"/>
    <w:rsid w:val="000006A3"/>
    <w:rsid w:val="00000C07"/>
    <w:rsid w:val="000019AF"/>
    <w:rsid w:val="0000444D"/>
    <w:rsid w:val="00004583"/>
    <w:rsid w:val="00004854"/>
    <w:rsid w:val="000073F0"/>
    <w:rsid w:val="000109A9"/>
    <w:rsid w:val="00012C3A"/>
    <w:rsid w:val="00012D26"/>
    <w:rsid w:val="00012D4D"/>
    <w:rsid w:val="0001386F"/>
    <w:rsid w:val="00015C2C"/>
    <w:rsid w:val="00015C74"/>
    <w:rsid w:val="00017E88"/>
    <w:rsid w:val="00022677"/>
    <w:rsid w:val="00024611"/>
    <w:rsid w:val="00026AE0"/>
    <w:rsid w:val="000309DF"/>
    <w:rsid w:val="00030EF7"/>
    <w:rsid w:val="00032887"/>
    <w:rsid w:val="00033F89"/>
    <w:rsid w:val="0003413B"/>
    <w:rsid w:val="00034900"/>
    <w:rsid w:val="00035DA2"/>
    <w:rsid w:val="00036621"/>
    <w:rsid w:val="0004159C"/>
    <w:rsid w:val="0004174E"/>
    <w:rsid w:val="00042E92"/>
    <w:rsid w:val="00043C24"/>
    <w:rsid w:val="0004401C"/>
    <w:rsid w:val="00050336"/>
    <w:rsid w:val="0005238F"/>
    <w:rsid w:val="00052CE7"/>
    <w:rsid w:val="00054310"/>
    <w:rsid w:val="00054F41"/>
    <w:rsid w:val="0005504E"/>
    <w:rsid w:val="00055840"/>
    <w:rsid w:val="00056BF2"/>
    <w:rsid w:val="0005734E"/>
    <w:rsid w:val="000573A0"/>
    <w:rsid w:val="00057F75"/>
    <w:rsid w:val="00060D76"/>
    <w:rsid w:val="00060E2F"/>
    <w:rsid w:val="000629AA"/>
    <w:rsid w:val="00062A2D"/>
    <w:rsid w:val="00063A20"/>
    <w:rsid w:val="000646B0"/>
    <w:rsid w:val="0006480E"/>
    <w:rsid w:val="00064E6B"/>
    <w:rsid w:val="0006509A"/>
    <w:rsid w:val="00065F52"/>
    <w:rsid w:val="00070674"/>
    <w:rsid w:val="00072FB9"/>
    <w:rsid w:val="00073F1B"/>
    <w:rsid w:val="00074126"/>
    <w:rsid w:val="000760CC"/>
    <w:rsid w:val="00081AC5"/>
    <w:rsid w:val="0008225E"/>
    <w:rsid w:val="00082DD5"/>
    <w:rsid w:val="00084234"/>
    <w:rsid w:val="000847E3"/>
    <w:rsid w:val="00084C88"/>
    <w:rsid w:val="00085445"/>
    <w:rsid w:val="00086DFF"/>
    <w:rsid w:val="00086EF2"/>
    <w:rsid w:val="00087D17"/>
    <w:rsid w:val="00090DDA"/>
    <w:rsid w:val="0009213E"/>
    <w:rsid w:val="00092240"/>
    <w:rsid w:val="00092AD5"/>
    <w:rsid w:val="00093968"/>
    <w:rsid w:val="00094849"/>
    <w:rsid w:val="000953F6"/>
    <w:rsid w:val="0009568B"/>
    <w:rsid w:val="000959ED"/>
    <w:rsid w:val="0009673A"/>
    <w:rsid w:val="00096F11"/>
    <w:rsid w:val="00097BFC"/>
    <w:rsid w:val="000A3B95"/>
    <w:rsid w:val="000A5F92"/>
    <w:rsid w:val="000A687E"/>
    <w:rsid w:val="000A6D14"/>
    <w:rsid w:val="000A7103"/>
    <w:rsid w:val="000A79FB"/>
    <w:rsid w:val="000B00FA"/>
    <w:rsid w:val="000B39DF"/>
    <w:rsid w:val="000B3DCC"/>
    <w:rsid w:val="000B5F27"/>
    <w:rsid w:val="000B66F3"/>
    <w:rsid w:val="000B7537"/>
    <w:rsid w:val="000B7652"/>
    <w:rsid w:val="000B7C39"/>
    <w:rsid w:val="000C0DC5"/>
    <w:rsid w:val="000C19D7"/>
    <w:rsid w:val="000C3B43"/>
    <w:rsid w:val="000C3F0E"/>
    <w:rsid w:val="000C3FC4"/>
    <w:rsid w:val="000C405F"/>
    <w:rsid w:val="000C4D0C"/>
    <w:rsid w:val="000C4DF3"/>
    <w:rsid w:val="000C5CBF"/>
    <w:rsid w:val="000C7057"/>
    <w:rsid w:val="000D01D7"/>
    <w:rsid w:val="000D0846"/>
    <w:rsid w:val="000D1906"/>
    <w:rsid w:val="000D1942"/>
    <w:rsid w:val="000D1A83"/>
    <w:rsid w:val="000D3F3F"/>
    <w:rsid w:val="000D42DF"/>
    <w:rsid w:val="000D5384"/>
    <w:rsid w:val="000D70AE"/>
    <w:rsid w:val="000D7A93"/>
    <w:rsid w:val="000E06C4"/>
    <w:rsid w:val="000E0EC9"/>
    <w:rsid w:val="000E11AB"/>
    <w:rsid w:val="000E1223"/>
    <w:rsid w:val="000E134A"/>
    <w:rsid w:val="000E1BBF"/>
    <w:rsid w:val="000E1BCE"/>
    <w:rsid w:val="000E2016"/>
    <w:rsid w:val="000E2417"/>
    <w:rsid w:val="000E2E8F"/>
    <w:rsid w:val="000E3763"/>
    <w:rsid w:val="000E38E4"/>
    <w:rsid w:val="000E76C7"/>
    <w:rsid w:val="000F0A8E"/>
    <w:rsid w:val="000F1298"/>
    <w:rsid w:val="000F492F"/>
    <w:rsid w:val="000F63CD"/>
    <w:rsid w:val="000F6BA9"/>
    <w:rsid w:val="000F6F62"/>
    <w:rsid w:val="000F798D"/>
    <w:rsid w:val="00100243"/>
    <w:rsid w:val="001034E1"/>
    <w:rsid w:val="00104049"/>
    <w:rsid w:val="00106E0B"/>
    <w:rsid w:val="001074CC"/>
    <w:rsid w:val="001076FF"/>
    <w:rsid w:val="001118B4"/>
    <w:rsid w:val="00115FEF"/>
    <w:rsid w:val="001219BF"/>
    <w:rsid w:val="00121FCE"/>
    <w:rsid w:val="00121FF3"/>
    <w:rsid w:val="00122274"/>
    <w:rsid w:val="0012328E"/>
    <w:rsid w:val="001232B1"/>
    <w:rsid w:val="001246EF"/>
    <w:rsid w:val="00127273"/>
    <w:rsid w:val="0012775E"/>
    <w:rsid w:val="001325FB"/>
    <w:rsid w:val="001337AE"/>
    <w:rsid w:val="00134107"/>
    <w:rsid w:val="00135A12"/>
    <w:rsid w:val="00135FAF"/>
    <w:rsid w:val="001364C0"/>
    <w:rsid w:val="00137791"/>
    <w:rsid w:val="00137C27"/>
    <w:rsid w:val="001404E5"/>
    <w:rsid w:val="00143ECE"/>
    <w:rsid w:val="00150BF5"/>
    <w:rsid w:val="0015156E"/>
    <w:rsid w:val="0015276F"/>
    <w:rsid w:val="00152C3A"/>
    <w:rsid w:val="00153564"/>
    <w:rsid w:val="00154079"/>
    <w:rsid w:val="0015422C"/>
    <w:rsid w:val="00154DC9"/>
    <w:rsid w:val="00155077"/>
    <w:rsid w:val="001561EF"/>
    <w:rsid w:val="0015753E"/>
    <w:rsid w:val="001579C2"/>
    <w:rsid w:val="00160056"/>
    <w:rsid w:val="001617F2"/>
    <w:rsid w:val="001628D0"/>
    <w:rsid w:val="0016310D"/>
    <w:rsid w:val="00163858"/>
    <w:rsid w:val="00165847"/>
    <w:rsid w:val="001722E3"/>
    <w:rsid w:val="00172F87"/>
    <w:rsid w:val="00174A22"/>
    <w:rsid w:val="00174CEE"/>
    <w:rsid w:val="00175ED8"/>
    <w:rsid w:val="00180724"/>
    <w:rsid w:val="00180906"/>
    <w:rsid w:val="00180CB9"/>
    <w:rsid w:val="00181C59"/>
    <w:rsid w:val="00182C96"/>
    <w:rsid w:val="001830D0"/>
    <w:rsid w:val="00185176"/>
    <w:rsid w:val="00185679"/>
    <w:rsid w:val="00187B18"/>
    <w:rsid w:val="0019049A"/>
    <w:rsid w:val="00191EC9"/>
    <w:rsid w:val="00192B48"/>
    <w:rsid w:val="00192F4E"/>
    <w:rsid w:val="0019421A"/>
    <w:rsid w:val="0019493F"/>
    <w:rsid w:val="00197580"/>
    <w:rsid w:val="001A06BD"/>
    <w:rsid w:val="001A1834"/>
    <w:rsid w:val="001A389F"/>
    <w:rsid w:val="001A4640"/>
    <w:rsid w:val="001A4BC1"/>
    <w:rsid w:val="001A725F"/>
    <w:rsid w:val="001A7D2A"/>
    <w:rsid w:val="001A7EB1"/>
    <w:rsid w:val="001B0476"/>
    <w:rsid w:val="001B060E"/>
    <w:rsid w:val="001B0A4F"/>
    <w:rsid w:val="001B0F94"/>
    <w:rsid w:val="001B1123"/>
    <w:rsid w:val="001B1D05"/>
    <w:rsid w:val="001B2E4C"/>
    <w:rsid w:val="001B2E70"/>
    <w:rsid w:val="001B32FF"/>
    <w:rsid w:val="001B3BBB"/>
    <w:rsid w:val="001B7032"/>
    <w:rsid w:val="001C00F8"/>
    <w:rsid w:val="001C0A88"/>
    <w:rsid w:val="001C0BB9"/>
    <w:rsid w:val="001C1FDC"/>
    <w:rsid w:val="001C328F"/>
    <w:rsid w:val="001C329D"/>
    <w:rsid w:val="001C554F"/>
    <w:rsid w:val="001C600C"/>
    <w:rsid w:val="001C6793"/>
    <w:rsid w:val="001C7565"/>
    <w:rsid w:val="001D2465"/>
    <w:rsid w:val="001D2832"/>
    <w:rsid w:val="001D30C6"/>
    <w:rsid w:val="001D51AF"/>
    <w:rsid w:val="001D5BEF"/>
    <w:rsid w:val="001D7431"/>
    <w:rsid w:val="001E0725"/>
    <w:rsid w:val="001E07F1"/>
    <w:rsid w:val="001E35D3"/>
    <w:rsid w:val="001E4224"/>
    <w:rsid w:val="001E595B"/>
    <w:rsid w:val="001E7C37"/>
    <w:rsid w:val="001F1270"/>
    <w:rsid w:val="001F2535"/>
    <w:rsid w:val="001F2AE1"/>
    <w:rsid w:val="001F2E8F"/>
    <w:rsid w:val="001F3664"/>
    <w:rsid w:val="001F375E"/>
    <w:rsid w:val="001F415A"/>
    <w:rsid w:val="001F50C4"/>
    <w:rsid w:val="001F5CDE"/>
    <w:rsid w:val="001F5F89"/>
    <w:rsid w:val="001F7083"/>
    <w:rsid w:val="001F7087"/>
    <w:rsid w:val="001F735A"/>
    <w:rsid w:val="001F7E75"/>
    <w:rsid w:val="00200177"/>
    <w:rsid w:val="002018B9"/>
    <w:rsid w:val="00201DDD"/>
    <w:rsid w:val="00202E5A"/>
    <w:rsid w:val="0020379B"/>
    <w:rsid w:val="00203BE1"/>
    <w:rsid w:val="00203F13"/>
    <w:rsid w:val="00204380"/>
    <w:rsid w:val="002061B3"/>
    <w:rsid w:val="00207030"/>
    <w:rsid w:val="002078B1"/>
    <w:rsid w:val="00210E96"/>
    <w:rsid w:val="002116D4"/>
    <w:rsid w:val="00212739"/>
    <w:rsid w:val="0021497A"/>
    <w:rsid w:val="00214E51"/>
    <w:rsid w:val="002156C2"/>
    <w:rsid w:val="00215A1C"/>
    <w:rsid w:val="0021679D"/>
    <w:rsid w:val="002173F9"/>
    <w:rsid w:val="00222073"/>
    <w:rsid w:val="00222CCE"/>
    <w:rsid w:val="00223ABA"/>
    <w:rsid w:val="00223CD0"/>
    <w:rsid w:val="0022415D"/>
    <w:rsid w:val="00225563"/>
    <w:rsid w:val="00225996"/>
    <w:rsid w:val="00225CDD"/>
    <w:rsid w:val="00226E76"/>
    <w:rsid w:val="0022700E"/>
    <w:rsid w:val="00230B86"/>
    <w:rsid w:val="0023107E"/>
    <w:rsid w:val="002313F2"/>
    <w:rsid w:val="00234546"/>
    <w:rsid w:val="00235E4E"/>
    <w:rsid w:val="00235F44"/>
    <w:rsid w:val="0023616F"/>
    <w:rsid w:val="00237482"/>
    <w:rsid w:val="00240A75"/>
    <w:rsid w:val="002417BE"/>
    <w:rsid w:val="002419B3"/>
    <w:rsid w:val="00241A42"/>
    <w:rsid w:val="002425E6"/>
    <w:rsid w:val="0024292B"/>
    <w:rsid w:val="00242F0A"/>
    <w:rsid w:val="00243573"/>
    <w:rsid w:val="0024363E"/>
    <w:rsid w:val="00243C4A"/>
    <w:rsid w:val="002464B3"/>
    <w:rsid w:val="00246C5D"/>
    <w:rsid w:val="00246D03"/>
    <w:rsid w:val="0024765F"/>
    <w:rsid w:val="0025047B"/>
    <w:rsid w:val="00254838"/>
    <w:rsid w:val="00255D67"/>
    <w:rsid w:val="002560BC"/>
    <w:rsid w:val="00257A8B"/>
    <w:rsid w:val="002610A2"/>
    <w:rsid w:val="0026266E"/>
    <w:rsid w:val="00262A6C"/>
    <w:rsid w:val="00263200"/>
    <w:rsid w:val="002633F6"/>
    <w:rsid w:val="002634B8"/>
    <w:rsid w:val="0026695E"/>
    <w:rsid w:val="00267341"/>
    <w:rsid w:val="00267DEF"/>
    <w:rsid w:val="00270822"/>
    <w:rsid w:val="002726F6"/>
    <w:rsid w:val="0027272D"/>
    <w:rsid w:val="00272CF4"/>
    <w:rsid w:val="002734DC"/>
    <w:rsid w:val="00273B0C"/>
    <w:rsid w:val="002741A5"/>
    <w:rsid w:val="00275B3A"/>
    <w:rsid w:val="00276B6C"/>
    <w:rsid w:val="00277362"/>
    <w:rsid w:val="00277740"/>
    <w:rsid w:val="00277F08"/>
    <w:rsid w:val="002815A0"/>
    <w:rsid w:val="002816ED"/>
    <w:rsid w:val="00282866"/>
    <w:rsid w:val="002841B4"/>
    <w:rsid w:val="0028459B"/>
    <w:rsid w:val="00285520"/>
    <w:rsid w:val="0028657C"/>
    <w:rsid w:val="002876F4"/>
    <w:rsid w:val="00287DBF"/>
    <w:rsid w:val="00290E10"/>
    <w:rsid w:val="002919E3"/>
    <w:rsid w:val="002927A2"/>
    <w:rsid w:val="002929EA"/>
    <w:rsid w:val="00294DE8"/>
    <w:rsid w:val="0029540C"/>
    <w:rsid w:val="002955BD"/>
    <w:rsid w:val="00295B77"/>
    <w:rsid w:val="002A07AD"/>
    <w:rsid w:val="002A1052"/>
    <w:rsid w:val="002A1766"/>
    <w:rsid w:val="002A1B55"/>
    <w:rsid w:val="002A22ED"/>
    <w:rsid w:val="002A2C76"/>
    <w:rsid w:val="002A3C73"/>
    <w:rsid w:val="002B01CD"/>
    <w:rsid w:val="002B0667"/>
    <w:rsid w:val="002B0E7A"/>
    <w:rsid w:val="002B1919"/>
    <w:rsid w:val="002B33DB"/>
    <w:rsid w:val="002B3C4F"/>
    <w:rsid w:val="002B41C9"/>
    <w:rsid w:val="002B4EC7"/>
    <w:rsid w:val="002B59A9"/>
    <w:rsid w:val="002B6A84"/>
    <w:rsid w:val="002B7027"/>
    <w:rsid w:val="002B7B5A"/>
    <w:rsid w:val="002C0FC7"/>
    <w:rsid w:val="002C3F81"/>
    <w:rsid w:val="002C4A5D"/>
    <w:rsid w:val="002C4BB0"/>
    <w:rsid w:val="002C538C"/>
    <w:rsid w:val="002C5A49"/>
    <w:rsid w:val="002C7BD5"/>
    <w:rsid w:val="002C7FD2"/>
    <w:rsid w:val="002D365C"/>
    <w:rsid w:val="002D38D2"/>
    <w:rsid w:val="002D486D"/>
    <w:rsid w:val="002D4CBB"/>
    <w:rsid w:val="002D73C9"/>
    <w:rsid w:val="002D782A"/>
    <w:rsid w:val="002D7AFD"/>
    <w:rsid w:val="002D7B71"/>
    <w:rsid w:val="002D7C90"/>
    <w:rsid w:val="002E00DF"/>
    <w:rsid w:val="002E1BB6"/>
    <w:rsid w:val="002E1C9F"/>
    <w:rsid w:val="002E2FD3"/>
    <w:rsid w:val="002E3B1A"/>
    <w:rsid w:val="002E477B"/>
    <w:rsid w:val="002F0ABB"/>
    <w:rsid w:val="002F1236"/>
    <w:rsid w:val="002F2946"/>
    <w:rsid w:val="002F2DBD"/>
    <w:rsid w:val="002F3548"/>
    <w:rsid w:val="002F413E"/>
    <w:rsid w:val="002F45AB"/>
    <w:rsid w:val="002F4776"/>
    <w:rsid w:val="002F4BCB"/>
    <w:rsid w:val="002F4EBA"/>
    <w:rsid w:val="002F58CE"/>
    <w:rsid w:val="0030094B"/>
    <w:rsid w:val="00301732"/>
    <w:rsid w:val="00302AFE"/>
    <w:rsid w:val="003032C9"/>
    <w:rsid w:val="003058BD"/>
    <w:rsid w:val="00306D92"/>
    <w:rsid w:val="003104F8"/>
    <w:rsid w:val="00310F40"/>
    <w:rsid w:val="0031127B"/>
    <w:rsid w:val="00311B07"/>
    <w:rsid w:val="00312253"/>
    <w:rsid w:val="00313355"/>
    <w:rsid w:val="0031402C"/>
    <w:rsid w:val="00314C69"/>
    <w:rsid w:val="003168A8"/>
    <w:rsid w:val="00321EEC"/>
    <w:rsid w:val="003224E2"/>
    <w:rsid w:val="0032318B"/>
    <w:rsid w:val="00323A9B"/>
    <w:rsid w:val="00323ECD"/>
    <w:rsid w:val="003247F2"/>
    <w:rsid w:val="00325B2E"/>
    <w:rsid w:val="00330F32"/>
    <w:rsid w:val="0033164B"/>
    <w:rsid w:val="003317E4"/>
    <w:rsid w:val="00331DE9"/>
    <w:rsid w:val="00331F50"/>
    <w:rsid w:val="0033509A"/>
    <w:rsid w:val="00337758"/>
    <w:rsid w:val="00340E17"/>
    <w:rsid w:val="00345D6A"/>
    <w:rsid w:val="00345DFD"/>
    <w:rsid w:val="003465DB"/>
    <w:rsid w:val="00346BD0"/>
    <w:rsid w:val="003504EB"/>
    <w:rsid w:val="00350C5F"/>
    <w:rsid w:val="0035275B"/>
    <w:rsid w:val="00353E7C"/>
    <w:rsid w:val="003553E0"/>
    <w:rsid w:val="003558A3"/>
    <w:rsid w:val="00356B2D"/>
    <w:rsid w:val="00356F19"/>
    <w:rsid w:val="00357EE2"/>
    <w:rsid w:val="003600B4"/>
    <w:rsid w:val="00362462"/>
    <w:rsid w:val="0036586C"/>
    <w:rsid w:val="00365A3B"/>
    <w:rsid w:val="00371C08"/>
    <w:rsid w:val="0037236B"/>
    <w:rsid w:val="00372D74"/>
    <w:rsid w:val="00373208"/>
    <w:rsid w:val="00373372"/>
    <w:rsid w:val="00374A89"/>
    <w:rsid w:val="00375907"/>
    <w:rsid w:val="00375A28"/>
    <w:rsid w:val="003764DD"/>
    <w:rsid w:val="003779C5"/>
    <w:rsid w:val="00382870"/>
    <w:rsid w:val="00384C6E"/>
    <w:rsid w:val="00386CC4"/>
    <w:rsid w:val="00387143"/>
    <w:rsid w:val="0038776A"/>
    <w:rsid w:val="00391878"/>
    <w:rsid w:val="003930CB"/>
    <w:rsid w:val="00394187"/>
    <w:rsid w:val="00394E2C"/>
    <w:rsid w:val="003951C6"/>
    <w:rsid w:val="003952F5"/>
    <w:rsid w:val="003960C1"/>
    <w:rsid w:val="003960E9"/>
    <w:rsid w:val="003A10C3"/>
    <w:rsid w:val="003A23D3"/>
    <w:rsid w:val="003A3E46"/>
    <w:rsid w:val="003A566F"/>
    <w:rsid w:val="003A66F4"/>
    <w:rsid w:val="003A7618"/>
    <w:rsid w:val="003B0547"/>
    <w:rsid w:val="003B0793"/>
    <w:rsid w:val="003B1A8B"/>
    <w:rsid w:val="003B3E46"/>
    <w:rsid w:val="003B49D6"/>
    <w:rsid w:val="003B49EE"/>
    <w:rsid w:val="003B4A35"/>
    <w:rsid w:val="003B540C"/>
    <w:rsid w:val="003B5CAF"/>
    <w:rsid w:val="003B636D"/>
    <w:rsid w:val="003B67CE"/>
    <w:rsid w:val="003C1630"/>
    <w:rsid w:val="003C285E"/>
    <w:rsid w:val="003C30E6"/>
    <w:rsid w:val="003C316E"/>
    <w:rsid w:val="003C327D"/>
    <w:rsid w:val="003C3FCA"/>
    <w:rsid w:val="003C58F9"/>
    <w:rsid w:val="003C5F26"/>
    <w:rsid w:val="003C6292"/>
    <w:rsid w:val="003C6ABD"/>
    <w:rsid w:val="003C7742"/>
    <w:rsid w:val="003C7FCB"/>
    <w:rsid w:val="003D0CDA"/>
    <w:rsid w:val="003D40C6"/>
    <w:rsid w:val="003D548C"/>
    <w:rsid w:val="003D6940"/>
    <w:rsid w:val="003D6EB8"/>
    <w:rsid w:val="003E1366"/>
    <w:rsid w:val="003E2A26"/>
    <w:rsid w:val="003E2EB2"/>
    <w:rsid w:val="003E49FB"/>
    <w:rsid w:val="003E5617"/>
    <w:rsid w:val="003E790F"/>
    <w:rsid w:val="003F40FC"/>
    <w:rsid w:val="003F4AA3"/>
    <w:rsid w:val="003F4FBA"/>
    <w:rsid w:val="003F5B49"/>
    <w:rsid w:val="003F5BC8"/>
    <w:rsid w:val="003F67E2"/>
    <w:rsid w:val="004007B5"/>
    <w:rsid w:val="00403239"/>
    <w:rsid w:val="004034E1"/>
    <w:rsid w:val="0040426F"/>
    <w:rsid w:val="00404CDA"/>
    <w:rsid w:val="004072E3"/>
    <w:rsid w:val="00407471"/>
    <w:rsid w:val="00411364"/>
    <w:rsid w:val="00411BBA"/>
    <w:rsid w:val="0041273D"/>
    <w:rsid w:val="00415F75"/>
    <w:rsid w:val="00416C99"/>
    <w:rsid w:val="004176F1"/>
    <w:rsid w:val="00426896"/>
    <w:rsid w:val="00427CF3"/>
    <w:rsid w:val="00430D53"/>
    <w:rsid w:val="00431CB0"/>
    <w:rsid w:val="004327AF"/>
    <w:rsid w:val="00432A0E"/>
    <w:rsid w:val="0043367F"/>
    <w:rsid w:val="004355FE"/>
    <w:rsid w:val="00435DCE"/>
    <w:rsid w:val="00441527"/>
    <w:rsid w:val="0044161A"/>
    <w:rsid w:val="00445139"/>
    <w:rsid w:val="00445517"/>
    <w:rsid w:val="004466C4"/>
    <w:rsid w:val="00446AF1"/>
    <w:rsid w:val="00446C08"/>
    <w:rsid w:val="00450EDA"/>
    <w:rsid w:val="004513F9"/>
    <w:rsid w:val="004515E8"/>
    <w:rsid w:val="00451764"/>
    <w:rsid w:val="0045180E"/>
    <w:rsid w:val="00451B0E"/>
    <w:rsid w:val="00451E58"/>
    <w:rsid w:val="00452645"/>
    <w:rsid w:val="004530EA"/>
    <w:rsid w:val="004536AE"/>
    <w:rsid w:val="00453AE7"/>
    <w:rsid w:val="00454F51"/>
    <w:rsid w:val="00455DDC"/>
    <w:rsid w:val="0045638C"/>
    <w:rsid w:val="00456797"/>
    <w:rsid w:val="00456A38"/>
    <w:rsid w:val="004570AF"/>
    <w:rsid w:val="00457195"/>
    <w:rsid w:val="004579EA"/>
    <w:rsid w:val="004611A9"/>
    <w:rsid w:val="00462948"/>
    <w:rsid w:val="00462E13"/>
    <w:rsid w:val="0046395D"/>
    <w:rsid w:val="00464D73"/>
    <w:rsid w:val="00467419"/>
    <w:rsid w:val="00467A33"/>
    <w:rsid w:val="004707CE"/>
    <w:rsid w:val="00470F24"/>
    <w:rsid w:val="0047141F"/>
    <w:rsid w:val="00471FDC"/>
    <w:rsid w:val="004738CF"/>
    <w:rsid w:val="00474B28"/>
    <w:rsid w:val="00474C09"/>
    <w:rsid w:val="00474C8D"/>
    <w:rsid w:val="00475676"/>
    <w:rsid w:val="00475A68"/>
    <w:rsid w:val="00477545"/>
    <w:rsid w:val="004776CC"/>
    <w:rsid w:val="00480549"/>
    <w:rsid w:val="004806DE"/>
    <w:rsid w:val="00482245"/>
    <w:rsid w:val="004825AD"/>
    <w:rsid w:val="00483575"/>
    <w:rsid w:val="004838BA"/>
    <w:rsid w:val="0048565D"/>
    <w:rsid w:val="00485E8D"/>
    <w:rsid w:val="00486260"/>
    <w:rsid w:val="00486B34"/>
    <w:rsid w:val="00486C94"/>
    <w:rsid w:val="00487482"/>
    <w:rsid w:val="00487639"/>
    <w:rsid w:val="00487D99"/>
    <w:rsid w:val="00487FAD"/>
    <w:rsid w:val="00490409"/>
    <w:rsid w:val="004935A8"/>
    <w:rsid w:val="004943CD"/>
    <w:rsid w:val="00495173"/>
    <w:rsid w:val="004979CF"/>
    <w:rsid w:val="004A0618"/>
    <w:rsid w:val="004A0EF5"/>
    <w:rsid w:val="004A12E6"/>
    <w:rsid w:val="004A1409"/>
    <w:rsid w:val="004A2440"/>
    <w:rsid w:val="004A5FC4"/>
    <w:rsid w:val="004A64F1"/>
    <w:rsid w:val="004A7351"/>
    <w:rsid w:val="004B22E8"/>
    <w:rsid w:val="004B2559"/>
    <w:rsid w:val="004B2573"/>
    <w:rsid w:val="004B2ED4"/>
    <w:rsid w:val="004B4572"/>
    <w:rsid w:val="004B5041"/>
    <w:rsid w:val="004B51DF"/>
    <w:rsid w:val="004B5417"/>
    <w:rsid w:val="004B6229"/>
    <w:rsid w:val="004B7A0C"/>
    <w:rsid w:val="004C0194"/>
    <w:rsid w:val="004C0546"/>
    <w:rsid w:val="004C1126"/>
    <w:rsid w:val="004C250D"/>
    <w:rsid w:val="004C264D"/>
    <w:rsid w:val="004C2706"/>
    <w:rsid w:val="004C353C"/>
    <w:rsid w:val="004C3E53"/>
    <w:rsid w:val="004C54E8"/>
    <w:rsid w:val="004C6631"/>
    <w:rsid w:val="004C7369"/>
    <w:rsid w:val="004D0E81"/>
    <w:rsid w:val="004D1B82"/>
    <w:rsid w:val="004D3656"/>
    <w:rsid w:val="004D3998"/>
    <w:rsid w:val="004D3A9E"/>
    <w:rsid w:val="004D44F2"/>
    <w:rsid w:val="004D5043"/>
    <w:rsid w:val="004D622C"/>
    <w:rsid w:val="004D632C"/>
    <w:rsid w:val="004E0A9B"/>
    <w:rsid w:val="004E0E96"/>
    <w:rsid w:val="004E2D5B"/>
    <w:rsid w:val="004E2FA2"/>
    <w:rsid w:val="004E2FA5"/>
    <w:rsid w:val="004E43B1"/>
    <w:rsid w:val="004E5BCB"/>
    <w:rsid w:val="004E69CE"/>
    <w:rsid w:val="004E76FF"/>
    <w:rsid w:val="004E77A8"/>
    <w:rsid w:val="004F49D1"/>
    <w:rsid w:val="004F4ED2"/>
    <w:rsid w:val="004F6CCE"/>
    <w:rsid w:val="004F747E"/>
    <w:rsid w:val="0050265A"/>
    <w:rsid w:val="00502874"/>
    <w:rsid w:val="00502EA8"/>
    <w:rsid w:val="005035F9"/>
    <w:rsid w:val="00503918"/>
    <w:rsid w:val="00504091"/>
    <w:rsid w:val="0050584C"/>
    <w:rsid w:val="005058BE"/>
    <w:rsid w:val="00505D26"/>
    <w:rsid w:val="00506A92"/>
    <w:rsid w:val="00510BFC"/>
    <w:rsid w:val="00510FF7"/>
    <w:rsid w:val="0051157C"/>
    <w:rsid w:val="0051199A"/>
    <w:rsid w:val="0051287C"/>
    <w:rsid w:val="0051473D"/>
    <w:rsid w:val="005148AB"/>
    <w:rsid w:val="005157F7"/>
    <w:rsid w:val="00515CDC"/>
    <w:rsid w:val="00516675"/>
    <w:rsid w:val="005167FB"/>
    <w:rsid w:val="00520C14"/>
    <w:rsid w:val="00521D67"/>
    <w:rsid w:val="00522003"/>
    <w:rsid w:val="00522FC7"/>
    <w:rsid w:val="00523372"/>
    <w:rsid w:val="00523382"/>
    <w:rsid w:val="00523660"/>
    <w:rsid w:val="00523818"/>
    <w:rsid w:val="00523B6F"/>
    <w:rsid w:val="00524518"/>
    <w:rsid w:val="0052460D"/>
    <w:rsid w:val="00524D45"/>
    <w:rsid w:val="00525115"/>
    <w:rsid w:val="00525336"/>
    <w:rsid w:val="00525850"/>
    <w:rsid w:val="005265C4"/>
    <w:rsid w:val="005265D6"/>
    <w:rsid w:val="00527081"/>
    <w:rsid w:val="005303E2"/>
    <w:rsid w:val="0053247D"/>
    <w:rsid w:val="00532481"/>
    <w:rsid w:val="005333FE"/>
    <w:rsid w:val="0053589D"/>
    <w:rsid w:val="00535F60"/>
    <w:rsid w:val="0053684A"/>
    <w:rsid w:val="00537142"/>
    <w:rsid w:val="00540476"/>
    <w:rsid w:val="00540ED1"/>
    <w:rsid w:val="0054110B"/>
    <w:rsid w:val="0054118C"/>
    <w:rsid w:val="00544C19"/>
    <w:rsid w:val="005450CB"/>
    <w:rsid w:val="00546F92"/>
    <w:rsid w:val="00550F2E"/>
    <w:rsid w:val="005519FA"/>
    <w:rsid w:val="0055372F"/>
    <w:rsid w:val="00553FEE"/>
    <w:rsid w:val="005547A8"/>
    <w:rsid w:val="0055542A"/>
    <w:rsid w:val="005556CC"/>
    <w:rsid w:val="00557436"/>
    <w:rsid w:val="00561907"/>
    <w:rsid w:val="00561E7A"/>
    <w:rsid w:val="00563E91"/>
    <w:rsid w:val="0056479C"/>
    <w:rsid w:val="00566A67"/>
    <w:rsid w:val="00566C4F"/>
    <w:rsid w:val="00567496"/>
    <w:rsid w:val="00567538"/>
    <w:rsid w:val="00567EBF"/>
    <w:rsid w:val="00571529"/>
    <w:rsid w:val="00571810"/>
    <w:rsid w:val="00571D49"/>
    <w:rsid w:val="00572168"/>
    <w:rsid w:val="00572922"/>
    <w:rsid w:val="0057483F"/>
    <w:rsid w:val="00576EA6"/>
    <w:rsid w:val="0058195B"/>
    <w:rsid w:val="00582618"/>
    <w:rsid w:val="005833A3"/>
    <w:rsid w:val="005841E9"/>
    <w:rsid w:val="00585F11"/>
    <w:rsid w:val="00587A83"/>
    <w:rsid w:val="00596DCB"/>
    <w:rsid w:val="005974B2"/>
    <w:rsid w:val="00597DCC"/>
    <w:rsid w:val="00597DE3"/>
    <w:rsid w:val="005A100B"/>
    <w:rsid w:val="005A13F4"/>
    <w:rsid w:val="005A2B83"/>
    <w:rsid w:val="005A3464"/>
    <w:rsid w:val="005A4055"/>
    <w:rsid w:val="005A578F"/>
    <w:rsid w:val="005A604A"/>
    <w:rsid w:val="005A6E21"/>
    <w:rsid w:val="005A6E35"/>
    <w:rsid w:val="005A7441"/>
    <w:rsid w:val="005B0055"/>
    <w:rsid w:val="005B39AB"/>
    <w:rsid w:val="005B5426"/>
    <w:rsid w:val="005B5E24"/>
    <w:rsid w:val="005C12FA"/>
    <w:rsid w:val="005C193F"/>
    <w:rsid w:val="005C3081"/>
    <w:rsid w:val="005C3C8D"/>
    <w:rsid w:val="005C5143"/>
    <w:rsid w:val="005C5F45"/>
    <w:rsid w:val="005C6160"/>
    <w:rsid w:val="005C70A2"/>
    <w:rsid w:val="005C783A"/>
    <w:rsid w:val="005D0863"/>
    <w:rsid w:val="005D12F5"/>
    <w:rsid w:val="005D3A98"/>
    <w:rsid w:val="005D4B70"/>
    <w:rsid w:val="005D4EFB"/>
    <w:rsid w:val="005D7C55"/>
    <w:rsid w:val="005E067C"/>
    <w:rsid w:val="005E302F"/>
    <w:rsid w:val="005E32B3"/>
    <w:rsid w:val="005E32F7"/>
    <w:rsid w:val="005E342B"/>
    <w:rsid w:val="005E3FFE"/>
    <w:rsid w:val="005E4192"/>
    <w:rsid w:val="005E4991"/>
    <w:rsid w:val="005E72EF"/>
    <w:rsid w:val="005F0203"/>
    <w:rsid w:val="005F0348"/>
    <w:rsid w:val="005F1D1E"/>
    <w:rsid w:val="005F1FA7"/>
    <w:rsid w:val="005F3979"/>
    <w:rsid w:val="005F39F8"/>
    <w:rsid w:val="005F465C"/>
    <w:rsid w:val="005F6CC9"/>
    <w:rsid w:val="00602732"/>
    <w:rsid w:val="00604709"/>
    <w:rsid w:val="00604C73"/>
    <w:rsid w:val="00605803"/>
    <w:rsid w:val="00605C02"/>
    <w:rsid w:val="00606497"/>
    <w:rsid w:val="00606F0D"/>
    <w:rsid w:val="0061041C"/>
    <w:rsid w:val="006104E2"/>
    <w:rsid w:val="006109F6"/>
    <w:rsid w:val="00610ECD"/>
    <w:rsid w:val="00613747"/>
    <w:rsid w:val="00613953"/>
    <w:rsid w:val="00614E8E"/>
    <w:rsid w:val="00614EAD"/>
    <w:rsid w:val="00615908"/>
    <w:rsid w:val="00616435"/>
    <w:rsid w:val="00616A30"/>
    <w:rsid w:val="00616A5E"/>
    <w:rsid w:val="00616E01"/>
    <w:rsid w:val="00620733"/>
    <w:rsid w:val="0062195A"/>
    <w:rsid w:val="00621BC0"/>
    <w:rsid w:val="00622685"/>
    <w:rsid w:val="006226A3"/>
    <w:rsid w:val="006235AF"/>
    <w:rsid w:val="006235D1"/>
    <w:rsid w:val="00624614"/>
    <w:rsid w:val="0062485D"/>
    <w:rsid w:val="006252F4"/>
    <w:rsid w:val="0062651C"/>
    <w:rsid w:val="00626B15"/>
    <w:rsid w:val="00627D45"/>
    <w:rsid w:val="00627DF6"/>
    <w:rsid w:val="00631F78"/>
    <w:rsid w:val="006332B1"/>
    <w:rsid w:val="006337FA"/>
    <w:rsid w:val="00634A4F"/>
    <w:rsid w:val="00634C39"/>
    <w:rsid w:val="00635D7F"/>
    <w:rsid w:val="00637463"/>
    <w:rsid w:val="006378A7"/>
    <w:rsid w:val="00637EEF"/>
    <w:rsid w:val="00637F1F"/>
    <w:rsid w:val="00640283"/>
    <w:rsid w:val="00640E27"/>
    <w:rsid w:val="00641E7F"/>
    <w:rsid w:val="006425BD"/>
    <w:rsid w:val="006437E5"/>
    <w:rsid w:val="006439B1"/>
    <w:rsid w:val="00644164"/>
    <w:rsid w:val="00644D68"/>
    <w:rsid w:val="006451FD"/>
    <w:rsid w:val="006458E2"/>
    <w:rsid w:val="00647E3E"/>
    <w:rsid w:val="0065056C"/>
    <w:rsid w:val="00650CA8"/>
    <w:rsid w:val="006511BB"/>
    <w:rsid w:val="0065164B"/>
    <w:rsid w:val="00652423"/>
    <w:rsid w:val="00652653"/>
    <w:rsid w:val="006570FF"/>
    <w:rsid w:val="00657E51"/>
    <w:rsid w:val="00660591"/>
    <w:rsid w:val="00660608"/>
    <w:rsid w:val="00660E10"/>
    <w:rsid w:val="00661AE6"/>
    <w:rsid w:val="00662344"/>
    <w:rsid w:val="00663180"/>
    <w:rsid w:val="006656BD"/>
    <w:rsid w:val="00665C4A"/>
    <w:rsid w:val="006664FE"/>
    <w:rsid w:val="00666852"/>
    <w:rsid w:val="006679F7"/>
    <w:rsid w:val="006712F2"/>
    <w:rsid w:val="0067175F"/>
    <w:rsid w:val="00673A4C"/>
    <w:rsid w:val="00673BC3"/>
    <w:rsid w:val="006754B2"/>
    <w:rsid w:val="006766A3"/>
    <w:rsid w:val="00677639"/>
    <w:rsid w:val="00677BAC"/>
    <w:rsid w:val="006800BE"/>
    <w:rsid w:val="00680AB0"/>
    <w:rsid w:val="00680DCC"/>
    <w:rsid w:val="006830C4"/>
    <w:rsid w:val="00684740"/>
    <w:rsid w:val="006856FF"/>
    <w:rsid w:val="00685A6D"/>
    <w:rsid w:val="006872B4"/>
    <w:rsid w:val="00687582"/>
    <w:rsid w:val="006912EE"/>
    <w:rsid w:val="00691416"/>
    <w:rsid w:val="006922A3"/>
    <w:rsid w:val="00692C1A"/>
    <w:rsid w:val="00692F7A"/>
    <w:rsid w:val="00696FB1"/>
    <w:rsid w:val="00697AEA"/>
    <w:rsid w:val="006A11D3"/>
    <w:rsid w:val="006A3CB3"/>
    <w:rsid w:val="006A4799"/>
    <w:rsid w:val="006A5BAE"/>
    <w:rsid w:val="006A61FD"/>
    <w:rsid w:val="006A761E"/>
    <w:rsid w:val="006A7EC0"/>
    <w:rsid w:val="006A7F28"/>
    <w:rsid w:val="006B2132"/>
    <w:rsid w:val="006B250A"/>
    <w:rsid w:val="006B4E2C"/>
    <w:rsid w:val="006B5EBE"/>
    <w:rsid w:val="006B6C4D"/>
    <w:rsid w:val="006C1151"/>
    <w:rsid w:val="006C1403"/>
    <w:rsid w:val="006C246B"/>
    <w:rsid w:val="006C2871"/>
    <w:rsid w:val="006C3468"/>
    <w:rsid w:val="006C3948"/>
    <w:rsid w:val="006C3A42"/>
    <w:rsid w:val="006C56D7"/>
    <w:rsid w:val="006D0A2F"/>
    <w:rsid w:val="006D2CAB"/>
    <w:rsid w:val="006D2EA8"/>
    <w:rsid w:val="006D2EFB"/>
    <w:rsid w:val="006D4C6D"/>
    <w:rsid w:val="006D71E3"/>
    <w:rsid w:val="006D7BC4"/>
    <w:rsid w:val="006E0730"/>
    <w:rsid w:val="006E0AFB"/>
    <w:rsid w:val="006E0D4F"/>
    <w:rsid w:val="006E11F5"/>
    <w:rsid w:val="006E1557"/>
    <w:rsid w:val="006E1EA2"/>
    <w:rsid w:val="006E1EA4"/>
    <w:rsid w:val="006E3240"/>
    <w:rsid w:val="006E3757"/>
    <w:rsid w:val="006E4702"/>
    <w:rsid w:val="006E591F"/>
    <w:rsid w:val="006E5F3B"/>
    <w:rsid w:val="006E5FB2"/>
    <w:rsid w:val="006E718F"/>
    <w:rsid w:val="006F18C7"/>
    <w:rsid w:val="006F1AD6"/>
    <w:rsid w:val="006F1AD8"/>
    <w:rsid w:val="006F1B97"/>
    <w:rsid w:val="006F1F38"/>
    <w:rsid w:val="006F440A"/>
    <w:rsid w:val="006F608F"/>
    <w:rsid w:val="006F7CE0"/>
    <w:rsid w:val="007023AD"/>
    <w:rsid w:val="00703B94"/>
    <w:rsid w:val="00704893"/>
    <w:rsid w:val="0070523C"/>
    <w:rsid w:val="007108CB"/>
    <w:rsid w:val="00710C77"/>
    <w:rsid w:val="00711282"/>
    <w:rsid w:val="00711E97"/>
    <w:rsid w:val="00713124"/>
    <w:rsid w:val="007144E0"/>
    <w:rsid w:val="00714FD7"/>
    <w:rsid w:val="00716B06"/>
    <w:rsid w:val="00717FED"/>
    <w:rsid w:val="007206BB"/>
    <w:rsid w:val="0072120A"/>
    <w:rsid w:val="007212FE"/>
    <w:rsid w:val="00721939"/>
    <w:rsid w:val="00722E9A"/>
    <w:rsid w:val="00723CBB"/>
    <w:rsid w:val="007245E2"/>
    <w:rsid w:val="00724973"/>
    <w:rsid w:val="00725B61"/>
    <w:rsid w:val="00726294"/>
    <w:rsid w:val="00726500"/>
    <w:rsid w:val="007308E1"/>
    <w:rsid w:val="00730902"/>
    <w:rsid w:val="007310DE"/>
    <w:rsid w:val="0073471A"/>
    <w:rsid w:val="00734B62"/>
    <w:rsid w:val="00734FC0"/>
    <w:rsid w:val="00735AEE"/>
    <w:rsid w:val="00736024"/>
    <w:rsid w:val="00736A7C"/>
    <w:rsid w:val="00737661"/>
    <w:rsid w:val="0074165C"/>
    <w:rsid w:val="00741A71"/>
    <w:rsid w:val="00741E46"/>
    <w:rsid w:val="007424FA"/>
    <w:rsid w:val="007440DA"/>
    <w:rsid w:val="0074418E"/>
    <w:rsid w:val="007476CC"/>
    <w:rsid w:val="007508C7"/>
    <w:rsid w:val="00752A8F"/>
    <w:rsid w:val="00754CB1"/>
    <w:rsid w:val="00755FE6"/>
    <w:rsid w:val="00756E43"/>
    <w:rsid w:val="00760667"/>
    <w:rsid w:val="00761943"/>
    <w:rsid w:val="0076513D"/>
    <w:rsid w:val="00767959"/>
    <w:rsid w:val="00770CC7"/>
    <w:rsid w:val="007721C0"/>
    <w:rsid w:val="00773B6B"/>
    <w:rsid w:val="00774496"/>
    <w:rsid w:val="00774B4C"/>
    <w:rsid w:val="00776797"/>
    <w:rsid w:val="00780E80"/>
    <w:rsid w:val="00783070"/>
    <w:rsid w:val="0078307C"/>
    <w:rsid w:val="0078455D"/>
    <w:rsid w:val="007850BD"/>
    <w:rsid w:val="007851F1"/>
    <w:rsid w:val="007856F6"/>
    <w:rsid w:val="00786ACE"/>
    <w:rsid w:val="00790C4D"/>
    <w:rsid w:val="00791BE5"/>
    <w:rsid w:val="00792323"/>
    <w:rsid w:val="00792562"/>
    <w:rsid w:val="007929EF"/>
    <w:rsid w:val="00792AEC"/>
    <w:rsid w:val="00792D8C"/>
    <w:rsid w:val="0079379E"/>
    <w:rsid w:val="007963ED"/>
    <w:rsid w:val="00797963"/>
    <w:rsid w:val="007A11D4"/>
    <w:rsid w:val="007A1C3A"/>
    <w:rsid w:val="007A40EF"/>
    <w:rsid w:val="007A42A6"/>
    <w:rsid w:val="007A5524"/>
    <w:rsid w:val="007A60DD"/>
    <w:rsid w:val="007A6633"/>
    <w:rsid w:val="007A7355"/>
    <w:rsid w:val="007B221F"/>
    <w:rsid w:val="007B2785"/>
    <w:rsid w:val="007B3C5D"/>
    <w:rsid w:val="007B5175"/>
    <w:rsid w:val="007B546D"/>
    <w:rsid w:val="007B571B"/>
    <w:rsid w:val="007B6F20"/>
    <w:rsid w:val="007C2327"/>
    <w:rsid w:val="007C2476"/>
    <w:rsid w:val="007C3E45"/>
    <w:rsid w:val="007C4874"/>
    <w:rsid w:val="007C4C9A"/>
    <w:rsid w:val="007C4F5B"/>
    <w:rsid w:val="007C59E3"/>
    <w:rsid w:val="007C5FF9"/>
    <w:rsid w:val="007C60BB"/>
    <w:rsid w:val="007D12D3"/>
    <w:rsid w:val="007D152D"/>
    <w:rsid w:val="007D15AC"/>
    <w:rsid w:val="007D2DCC"/>
    <w:rsid w:val="007D3F90"/>
    <w:rsid w:val="007D41DD"/>
    <w:rsid w:val="007D56A7"/>
    <w:rsid w:val="007D685D"/>
    <w:rsid w:val="007D7137"/>
    <w:rsid w:val="007D7460"/>
    <w:rsid w:val="007D7AF7"/>
    <w:rsid w:val="007E0100"/>
    <w:rsid w:val="007E29E7"/>
    <w:rsid w:val="007E2A99"/>
    <w:rsid w:val="007E304D"/>
    <w:rsid w:val="007E3CEC"/>
    <w:rsid w:val="007E4280"/>
    <w:rsid w:val="007E51D6"/>
    <w:rsid w:val="007E60D0"/>
    <w:rsid w:val="007E723B"/>
    <w:rsid w:val="007F0F28"/>
    <w:rsid w:val="007F123F"/>
    <w:rsid w:val="007F133B"/>
    <w:rsid w:val="007F169E"/>
    <w:rsid w:val="007F2957"/>
    <w:rsid w:val="007F3DA6"/>
    <w:rsid w:val="007F418B"/>
    <w:rsid w:val="007F7BA8"/>
    <w:rsid w:val="0080000C"/>
    <w:rsid w:val="00800B93"/>
    <w:rsid w:val="008012C9"/>
    <w:rsid w:val="00802FC1"/>
    <w:rsid w:val="008048D3"/>
    <w:rsid w:val="0080642C"/>
    <w:rsid w:val="0080686B"/>
    <w:rsid w:val="00806AC6"/>
    <w:rsid w:val="00810015"/>
    <w:rsid w:val="00812F9E"/>
    <w:rsid w:val="008133DA"/>
    <w:rsid w:val="0081492C"/>
    <w:rsid w:val="0081572C"/>
    <w:rsid w:val="008172DB"/>
    <w:rsid w:val="00817672"/>
    <w:rsid w:val="00820C0A"/>
    <w:rsid w:val="0082183A"/>
    <w:rsid w:val="00822359"/>
    <w:rsid w:val="00822E11"/>
    <w:rsid w:val="008237A6"/>
    <w:rsid w:val="00825699"/>
    <w:rsid w:val="008257C4"/>
    <w:rsid w:val="0083076B"/>
    <w:rsid w:val="0083554F"/>
    <w:rsid w:val="00835EEB"/>
    <w:rsid w:val="00836309"/>
    <w:rsid w:val="00836C9D"/>
    <w:rsid w:val="0083718B"/>
    <w:rsid w:val="0084054F"/>
    <w:rsid w:val="00841280"/>
    <w:rsid w:val="00842B2E"/>
    <w:rsid w:val="00842C89"/>
    <w:rsid w:val="00843CDF"/>
    <w:rsid w:val="00846EFA"/>
    <w:rsid w:val="00847B57"/>
    <w:rsid w:val="00850E4B"/>
    <w:rsid w:val="0085129E"/>
    <w:rsid w:val="00851B6C"/>
    <w:rsid w:val="008527AD"/>
    <w:rsid w:val="00852BF5"/>
    <w:rsid w:val="00852EE7"/>
    <w:rsid w:val="0085320B"/>
    <w:rsid w:val="0085387C"/>
    <w:rsid w:val="00855AD8"/>
    <w:rsid w:val="00855FD2"/>
    <w:rsid w:val="00856BF7"/>
    <w:rsid w:val="00857D65"/>
    <w:rsid w:val="008604F3"/>
    <w:rsid w:val="00860A07"/>
    <w:rsid w:val="008622FE"/>
    <w:rsid w:val="0086378E"/>
    <w:rsid w:val="00864302"/>
    <w:rsid w:val="00865BB6"/>
    <w:rsid w:val="008662BD"/>
    <w:rsid w:val="00867880"/>
    <w:rsid w:val="00867DB9"/>
    <w:rsid w:val="00870D9A"/>
    <w:rsid w:val="00870E68"/>
    <w:rsid w:val="0087146A"/>
    <w:rsid w:val="00871ADD"/>
    <w:rsid w:val="00872F6C"/>
    <w:rsid w:val="00873FBE"/>
    <w:rsid w:val="00874629"/>
    <w:rsid w:val="00875164"/>
    <w:rsid w:val="00875C35"/>
    <w:rsid w:val="00876618"/>
    <w:rsid w:val="00877DD6"/>
    <w:rsid w:val="00880F7B"/>
    <w:rsid w:val="00881B69"/>
    <w:rsid w:val="008820D6"/>
    <w:rsid w:val="0088257A"/>
    <w:rsid w:val="00882915"/>
    <w:rsid w:val="008836FA"/>
    <w:rsid w:val="00883C82"/>
    <w:rsid w:val="008847B7"/>
    <w:rsid w:val="00887117"/>
    <w:rsid w:val="00887D42"/>
    <w:rsid w:val="00892A47"/>
    <w:rsid w:val="00892E44"/>
    <w:rsid w:val="00893171"/>
    <w:rsid w:val="008931B4"/>
    <w:rsid w:val="0089332A"/>
    <w:rsid w:val="008954F8"/>
    <w:rsid w:val="00895E79"/>
    <w:rsid w:val="008962CE"/>
    <w:rsid w:val="008A2183"/>
    <w:rsid w:val="008A2F68"/>
    <w:rsid w:val="008A3105"/>
    <w:rsid w:val="008A3A0F"/>
    <w:rsid w:val="008A509A"/>
    <w:rsid w:val="008A561E"/>
    <w:rsid w:val="008B0DD7"/>
    <w:rsid w:val="008B18B1"/>
    <w:rsid w:val="008B1BFC"/>
    <w:rsid w:val="008B222B"/>
    <w:rsid w:val="008B345E"/>
    <w:rsid w:val="008B499E"/>
    <w:rsid w:val="008B5040"/>
    <w:rsid w:val="008B6080"/>
    <w:rsid w:val="008B7325"/>
    <w:rsid w:val="008B7C7B"/>
    <w:rsid w:val="008C0D28"/>
    <w:rsid w:val="008C51B2"/>
    <w:rsid w:val="008C6070"/>
    <w:rsid w:val="008C72A3"/>
    <w:rsid w:val="008C7866"/>
    <w:rsid w:val="008C7EFE"/>
    <w:rsid w:val="008D0DE1"/>
    <w:rsid w:val="008D16A5"/>
    <w:rsid w:val="008D1D91"/>
    <w:rsid w:val="008D3ECA"/>
    <w:rsid w:val="008D4175"/>
    <w:rsid w:val="008D41F2"/>
    <w:rsid w:val="008D775A"/>
    <w:rsid w:val="008E1409"/>
    <w:rsid w:val="008E2C9A"/>
    <w:rsid w:val="008E4196"/>
    <w:rsid w:val="008E4370"/>
    <w:rsid w:val="008E4B87"/>
    <w:rsid w:val="008E5D57"/>
    <w:rsid w:val="008E65DF"/>
    <w:rsid w:val="008E67A1"/>
    <w:rsid w:val="008E7B30"/>
    <w:rsid w:val="008F0B42"/>
    <w:rsid w:val="008F0DD4"/>
    <w:rsid w:val="008F1112"/>
    <w:rsid w:val="008F204C"/>
    <w:rsid w:val="008F21A4"/>
    <w:rsid w:val="008F2C72"/>
    <w:rsid w:val="008F3120"/>
    <w:rsid w:val="008F3766"/>
    <w:rsid w:val="008F3859"/>
    <w:rsid w:val="008F3CB8"/>
    <w:rsid w:val="008F5F84"/>
    <w:rsid w:val="008F697D"/>
    <w:rsid w:val="009008D6"/>
    <w:rsid w:val="00900A20"/>
    <w:rsid w:val="0090136D"/>
    <w:rsid w:val="00901816"/>
    <w:rsid w:val="00902D08"/>
    <w:rsid w:val="00902E32"/>
    <w:rsid w:val="00906996"/>
    <w:rsid w:val="00910884"/>
    <w:rsid w:val="0091347E"/>
    <w:rsid w:val="00914164"/>
    <w:rsid w:val="009142C2"/>
    <w:rsid w:val="0091455F"/>
    <w:rsid w:val="00915304"/>
    <w:rsid w:val="00917CE4"/>
    <w:rsid w:val="009205B4"/>
    <w:rsid w:val="00920E83"/>
    <w:rsid w:val="00922985"/>
    <w:rsid w:val="009230B2"/>
    <w:rsid w:val="009237A5"/>
    <w:rsid w:val="00923B40"/>
    <w:rsid w:val="0092540B"/>
    <w:rsid w:val="009254E2"/>
    <w:rsid w:val="00927603"/>
    <w:rsid w:val="009316EB"/>
    <w:rsid w:val="00932E72"/>
    <w:rsid w:val="0093396E"/>
    <w:rsid w:val="00933FEE"/>
    <w:rsid w:val="00934123"/>
    <w:rsid w:val="00934A40"/>
    <w:rsid w:val="009356A4"/>
    <w:rsid w:val="00935C2C"/>
    <w:rsid w:val="00935E02"/>
    <w:rsid w:val="00935FAC"/>
    <w:rsid w:val="009363B5"/>
    <w:rsid w:val="009363FE"/>
    <w:rsid w:val="00936863"/>
    <w:rsid w:val="0093686A"/>
    <w:rsid w:val="009404DB"/>
    <w:rsid w:val="00940690"/>
    <w:rsid w:val="009407E8"/>
    <w:rsid w:val="0094188E"/>
    <w:rsid w:val="009430AF"/>
    <w:rsid w:val="00946EE6"/>
    <w:rsid w:val="00954582"/>
    <w:rsid w:val="00954919"/>
    <w:rsid w:val="00955C89"/>
    <w:rsid w:val="00956A30"/>
    <w:rsid w:val="00956F8A"/>
    <w:rsid w:val="00957E9F"/>
    <w:rsid w:val="00961812"/>
    <w:rsid w:val="00962BE7"/>
    <w:rsid w:val="009631C5"/>
    <w:rsid w:val="00963880"/>
    <w:rsid w:val="00963B91"/>
    <w:rsid w:val="00965725"/>
    <w:rsid w:val="00967335"/>
    <w:rsid w:val="00967CD2"/>
    <w:rsid w:val="00970842"/>
    <w:rsid w:val="00970E24"/>
    <w:rsid w:val="00970EC8"/>
    <w:rsid w:val="00971A72"/>
    <w:rsid w:val="00973161"/>
    <w:rsid w:val="00974215"/>
    <w:rsid w:val="00974B2B"/>
    <w:rsid w:val="00975C93"/>
    <w:rsid w:val="00977089"/>
    <w:rsid w:val="00977866"/>
    <w:rsid w:val="00977967"/>
    <w:rsid w:val="0098331A"/>
    <w:rsid w:val="0098461A"/>
    <w:rsid w:val="00985C85"/>
    <w:rsid w:val="00986FAB"/>
    <w:rsid w:val="00990AC8"/>
    <w:rsid w:val="009911E5"/>
    <w:rsid w:val="009912C3"/>
    <w:rsid w:val="009917B0"/>
    <w:rsid w:val="00991A4B"/>
    <w:rsid w:val="0099271C"/>
    <w:rsid w:val="0099343C"/>
    <w:rsid w:val="00995B86"/>
    <w:rsid w:val="0099679E"/>
    <w:rsid w:val="00996966"/>
    <w:rsid w:val="009A02B5"/>
    <w:rsid w:val="009A147B"/>
    <w:rsid w:val="009A151B"/>
    <w:rsid w:val="009A23FA"/>
    <w:rsid w:val="009A3429"/>
    <w:rsid w:val="009A36E6"/>
    <w:rsid w:val="009A54C2"/>
    <w:rsid w:val="009A6888"/>
    <w:rsid w:val="009B031B"/>
    <w:rsid w:val="009B38AF"/>
    <w:rsid w:val="009B3EA7"/>
    <w:rsid w:val="009B434D"/>
    <w:rsid w:val="009B4B52"/>
    <w:rsid w:val="009B4BDD"/>
    <w:rsid w:val="009B6632"/>
    <w:rsid w:val="009B796C"/>
    <w:rsid w:val="009C258C"/>
    <w:rsid w:val="009C4045"/>
    <w:rsid w:val="009C4129"/>
    <w:rsid w:val="009C42E6"/>
    <w:rsid w:val="009C63FF"/>
    <w:rsid w:val="009D038B"/>
    <w:rsid w:val="009D1A42"/>
    <w:rsid w:val="009D2AFA"/>
    <w:rsid w:val="009D312C"/>
    <w:rsid w:val="009D3DE9"/>
    <w:rsid w:val="009D6D28"/>
    <w:rsid w:val="009E1901"/>
    <w:rsid w:val="009E1D67"/>
    <w:rsid w:val="009E2F79"/>
    <w:rsid w:val="009E3500"/>
    <w:rsid w:val="009E45C7"/>
    <w:rsid w:val="009E49F8"/>
    <w:rsid w:val="009E59C8"/>
    <w:rsid w:val="009E5F5D"/>
    <w:rsid w:val="009F10EC"/>
    <w:rsid w:val="009F3448"/>
    <w:rsid w:val="009F63BF"/>
    <w:rsid w:val="009F690A"/>
    <w:rsid w:val="009F7650"/>
    <w:rsid w:val="009F7F62"/>
    <w:rsid w:val="00A006FD"/>
    <w:rsid w:val="00A00E9F"/>
    <w:rsid w:val="00A01E35"/>
    <w:rsid w:val="00A0464E"/>
    <w:rsid w:val="00A04E0C"/>
    <w:rsid w:val="00A05EDE"/>
    <w:rsid w:val="00A071C2"/>
    <w:rsid w:val="00A07DE4"/>
    <w:rsid w:val="00A102C7"/>
    <w:rsid w:val="00A10FC9"/>
    <w:rsid w:val="00A125AD"/>
    <w:rsid w:val="00A1452C"/>
    <w:rsid w:val="00A154CF"/>
    <w:rsid w:val="00A17D86"/>
    <w:rsid w:val="00A21464"/>
    <w:rsid w:val="00A21983"/>
    <w:rsid w:val="00A25D4E"/>
    <w:rsid w:val="00A26F17"/>
    <w:rsid w:val="00A31613"/>
    <w:rsid w:val="00A3179A"/>
    <w:rsid w:val="00A32149"/>
    <w:rsid w:val="00A3334D"/>
    <w:rsid w:val="00A33A47"/>
    <w:rsid w:val="00A33F26"/>
    <w:rsid w:val="00A34258"/>
    <w:rsid w:val="00A342C3"/>
    <w:rsid w:val="00A347C6"/>
    <w:rsid w:val="00A3526C"/>
    <w:rsid w:val="00A3709B"/>
    <w:rsid w:val="00A414B3"/>
    <w:rsid w:val="00A420A0"/>
    <w:rsid w:val="00A427BD"/>
    <w:rsid w:val="00A427C5"/>
    <w:rsid w:val="00A4280C"/>
    <w:rsid w:val="00A42C6D"/>
    <w:rsid w:val="00A42E38"/>
    <w:rsid w:val="00A44510"/>
    <w:rsid w:val="00A4536C"/>
    <w:rsid w:val="00A4619E"/>
    <w:rsid w:val="00A4665B"/>
    <w:rsid w:val="00A467CE"/>
    <w:rsid w:val="00A4797B"/>
    <w:rsid w:val="00A47F5B"/>
    <w:rsid w:val="00A47FEE"/>
    <w:rsid w:val="00A51B83"/>
    <w:rsid w:val="00A52BAC"/>
    <w:rsid w:val="00A5317B"/>
    <w:rsid w:val="00A60BEC"/>
    <w:rsid w:val="00A62799"/>
    <w:rsid w:val="00A63752"/>
    <w:rsid w:val="00A650AE"/>
    <w:rsid w:val="00A657F6"/>
    <w:rsid w:val="00A664E9"/>
    <w:rsid w:val="00A67EC5"/>
    <w:rsid w:val="00A7188E"/>
    <w:rsid w:val="00A71FAF"/>
    <w:rsid w:val="00A74E12"/>
    <w:rsid w:val="00A75C47"/>
    <w:rsid w:val="00A764B6"/>
    <w:rsid w:val="00A76759"/>
    <w:rsid w:val="00A76F05"/>
    <w:rsid w:val="00A80F31"/>
    <w:rsid w:val="00A8130D"/>
    <w:rsid w:val="00A81BDD"/>
    <w:rsid w:val="00A8295F"/>
    <w:rsid w:val="00A82E07"/>
    <w:rsid w:val="00A839A0"/>
    <w:rsid w:val="00A86B9F"/>
    <w:rsid w:val="00A877B0"/>
    <w:rsid w:val="00A9077E"/>
    <w:rsid w:val="00A9296E"/>
    <w:rsid w:val="00A93467"/>
    <w:rsid w:val="00A945E6"/>
    <w:rsid w:val="00A94E02"/>
    <w:rsid w:val="00A96836"/>
    <w:rsid w:val="00AA1474"/>
    <w:rsid w:val="00AA2F68"/>
    <w:rsid w:val="00AA47D2"/>
    <w:rsid w:val="00AA4B0D"/>
    <w:rsid w:val="00AA5AB9"/>
    <w:rsid w:val="00AB074D"/>
    <w:rsid w:val="00AB0B81"/>
    <w:rsid w:val="00AB23CA"/>
    <w:rsid w:val="00AB27A2"/>
    <w:rsid w:val="00AB3628"/>
    <w:rsid w:val="00AB39B5"/>
    <w:rsid w:val="00AB4966"/>
    <w:rsid w:val="00AB5EA9"/>
    <w:rsid w:val="00AB5EB3"/>
    <w:rsid w:val="00AC0655"/>
    <w:rsid w:val="00AC0826"/>
    <w:rsid w:val="00AC0A44"/>
    <w:rsid w:val="00AC0E4F"/>
    <w:rsid w:val="00AC13A0"/>
    <w:rsid w:val="00AC1F57"/>
    <w:rsid w:val="00AC31F0"/>
    <w:rsid w:val="00AC34D6"/>
    <w:rsid w:val="00AC3F06"/>
    <w:rsid w:val="00AC4F5F"/>
    <w:rsid w:val="00AC7709"/>
    <w:rsid w:val="00AD0A68"/>
    <w:rsid w:val="00AD15DE"/>
    <w:rsid w:val="00AD1E9C"/>
    <w:rsid w:val="00AD263A"/>
    <w:rsid w:val="00AD3E02"/>
    <w:rsid w:val="00AD3EA7"/>
    <w:rsid w:val="00AD48B8"/>
    <w:rsid w:val="00AD4D8C"/>
    <w:rsid w:val="00AD4E6D"/>
    <w:rsid w:val="00AD5B91"/>
    <w:rsid w:val="00AD7F25"/>
    <w:rsid w:val="00AE043D"/>
    <w:rsid w:val="00AE07FE"/>
    <w:rsid w:val="00AE309F"/>
    <w:rsid w:val="00AE3EBC"/>
    <w:rsid w:val="00AE4F00"/>
    <w:rsid w:val="00AE5FBB"/>
    <w:rsid w:val="00AE735D"/>
    <w:rsid w:val="00AF0812"/>
    <w:rsid w:val="00AF0A0A"/>
    <w:rsid w:val="00AF49FC"/>
    <w:rsid w:val="00AF5578"/>
    <w:rsid w:val="00AF6422"/>
    <w:rsid w:val="00B00D48"/>
    <w:rsid w:val="00B02B7A"/>
    <w:rsid w:val="00B03C33"/>
    <w:rsid w:val="00B04CFE"/>
    <w:rsid w:val="00B079AD"/>
    <w:rsid w:val="00B07AD4"/>
    <w:rsid w:val="00B110BE"/>
    <w:rsid w:val="00B12160"/>
    <w:rsid w:val="00B123C2"/>
    <w:rsid w:val="00B12C74"/>
    <w:rsid w:val="00B137D3"/>
    <w:rsid w:val="00B1524C"/>
    <w:rsid w:val="00B17D18"/>
    <w:rsid w:val="00B17D4A"/>
    <w:rsid w:val="00B2066C"/>
    <w:rsid w:val="00B20DB7"/>
    <w:rsid w:val="00B20FC3"/>
    <w:rsid w:val="00B250FE"/>
    <w:rsid w:val="00B25DE4"/>
    <w:rsid w:val="00B2749F"/>
    <w:rsid w:val="00B279DA"/>
    <w:rsid w:val="00B3010E"/>
    <w:rsid w:val="00B3035D"/>
    <w:rsid w:val="00B303F0"/>
    <w:rsid w:val="00B304AB"/>
    <w:rsid w:val="00B31BF3"/>
    <w:rsid w:val="00B34267"/>
    <w:rsid w:val="00B35632"/>
    <w:rsid w:val="00B37566"/>
    <w:rsid w:val="00B419A8"/>
    <w:rsid w:val="00B423E5"/>
    <w:rsid w:val="00B4321C"/>
    <w:rsid w:val="00B43267"/>
    <w:rsid w:val="00B4342B"/>
    <w:rsid w:val="00B458FF"/>
    <w:rsid w:val="00B46DA9"/>
    <w:rsid w:val="00B515F2"/>
    <w:rsid w:val="00B523B2"/>
    <w:rsid w:val="00B5356A"/>
    <w:rsid w:val="00B541AC"/>
    <w:rsid w:val="00B5545F"/>
    <w:rsid w:val="00B55FF4"/>
    <w:rsid w:val="00B562AC"/>
    <w:rsid w:val="00B642B7"/>
    <w:rsid w:val="00B643DB"/>
    <w:rsid w:val="00B64E27"/>
    <w:rsid w:val="00B66BB3"/>
    <w:rsid w:val="00B6CEBB"/>
    <w:rsid w:val="00B7032C"/>
    <w:rsid w:val="00B70D75"/>
    <w:rsid w:val="00B7771E"/>
    <w:rsid w:val="00B80979"/>
    <w:rsid w:val="00B81B0B"/>
    <w:rsid w:val="00B858C7"/>
    <w:rsid w:val="00B90D3C"/>
    <w:rsid w:val="00B926AB"/>
    <w:rsid w:val="00B94008"/>
    <w:rsid w:val="00B96166"/>
    <w:rsid w:val="00B96A1F"/>
    <w:rsid w:val="00B96E59"/>
    <w:rsid w:val="00B96F36"/>
    <w:rsid w:val="00B9738A"/>
    <w:rsid w:val="00BA3BB2"/>
    <w:rsid w:val="00BB3FBB"/>
    <w:rsid w:val="00BB6AC3"/>
    <w:rsid w:val="00BC053D"/>
    <w:rsid w:val="00BC05E9"/>
    <w:rsid w:val="00BC08DE"/>
    <w:rsid w:val="00BC232D"/>
    <w:rsid w:val="00BC3C8C"/>
    <w:rsid w:val="00BC5432"/>
    <w:rsid w:val="00BC6F0B"/>
    <w:rsid w:val="00BD0205"/>
    <w:rsid w:val="00BD15C2"/>
    <w:rsid w:val="00BD265E"/>
    <w:rsid w:val="00BD2A93"/>
    <w:rsid w:val="00BD598B"/>
    <w:rsid w:val="00BD5A3E"/>
    <w:rsid w:val="00BD5B84"/>
    <w:rsid w:val="00BD5DBC"/>
    <w:rsid w:val="00BE1023"/>
    <w:rsid w:val="00BE19A2"/>
    <w:rsid w:val="00BE28C7"/>
    <w:rsid w:val="00BE5F68"/>
    <w:rsid w:val="00BE6816"/>
    <w:rsid w:val="00BF0926"/>
    <w:rsid w:val="00BF0CFD"/>
    <w:rsid w:val="00BF4010"/>
    <w:rsid w:val="00BF432B"/>
    <w:rsid w:val="00BF49FB"/>
    <w:rsid w:val="00BF6016"/>
    <w:rsid w:val="00BF6991"/>
    <w:rsid w:val="00BF6BD1"/>
    <w:rsid w:val="00BF7D7D"/>
    <w:rsid w:val="00C00081"/>
    <w:rsid w:val="00C00506"/>
    <w:rsid w:val="00C00984"/>
    <w:rsid w:val="00C012B1"/>
    <w:rsid w:val="00C0179D"/>
    <w:rsid w:val="00C02195"/>
    <w:rsid w:val="00C02216"/>
    <w:rsid w:val="00C03A6B"/>
    <w:rsid w:val="00C04C20"/>
    <w:rsid w:val="00C05755"/>
    <w:rsid w:val="00C05F58"/>
    <w:rsid w:val="00C10B3E"/>
    <w:rsid w:val="00C11829"/>
    <w:rsid w:val="00C11C93"/>
    <w:rsid w:val="00C11CC7"/>
    <w:rsid w:val="00C12224"/>
    <w:rsid w:val="00C1281F"/>
    <w:rsid w:val="00C132A7"/>
    <w:rsid w:val="00C15594"/>
    <w:rsid w:val="00C16D38"/>
    <w:rsid w:val="00C17E29"/>
    <w:rsid w:val="00C2060D"/>
    <w:rsid w:val="00C2091F"/>
    <w:rsid w:val="00C2155D"/>
    <w:rsid w:val="00C2248D"/>
    <w:rsid w:val="00C22C07"/>
    <w:rsid w:val="00C23B76"/>
    <w:rsid w:val="00C25D2E"/>
    <w:rsid w:val="00C2610E"/>
    <w:rsid w:val="00C2611E"/>
    <w:rsid w:val="00C26DF9"/>
    <w:rsid w:val="00C274B9"/>
    <w:rsid w:val="00C33623"/>
    <w:rsid w:val="00C33961"/>
    <w:rsid w:val="00C35283"/>
    <w:rsid w:val="00C352FF"/>
    <w:rsid w:val="00C36592"/>
    <w:rsid w:val="00C425D7"/>
    <w:rsid w:val="00C42767"/>
    <w:rsid w:val="00C43EAD"/>
    <w:rsid w:val="00C452FD"/>
    <w:rsid w:val="00C458C9"/>
    <w:rsid w:val="00C45A93"/>
    <w:rsid w:val="00C45E70"/>
    <w:rsid w:val="00C477DA"/>
    <w:rsid w:val="00C50318"/>
    <w:rsid w:val="00C517BE"/>
    <w:rsid w:val="00C51F32"/>
    <w:rsid w:val="00C53535"/>
    <w:rsid w:val="00C550FA"/>
    <w:rsid w:val="00C56F74"/>
    <w:rsid w:val="00C60C63"/>
    <w:rsid w:val="00C60EC1"/>
    <w:rsid w:val="00C62FD2"/>
    <w:rsid w:val="00C64A06"/>
    <w:rsid w:val="00C652ED"/>
    <w:rsid w:val="00C65D04"/>
    <w:rsid w:val="00C709AF"/>
    <w:rsid w:val="00C70DDC"/>
    <w:rsid w:val="00C7179F"/>
    <w:rsid w:val="00C725AC"/>
    <w:rsid w:val="00C72C7F"/>
    <w:rsid w:val="00C735E4"/>
    <w:rsid w:val="00C75AA0"/>
    <w:rsid w:val="00C766A3"/>
    <w:rsid w:val="00C76B44"/>
    <w:rsid w:val="00C776B2"/>
    <w:rsid w:val="00C80176"/>
    <w:rsid w:val="00C80605"/>
    <w:rsid w:val="00C80C9C"/>
    <w:rsid w:val="00C81323"/>
    <w:rsid w:val="00C81F40"/>
    <w:rsid w:val="00C8290F"/>
    <w:rsid w:val="00C83901"/>
    <w:rsid w:val="00C83B17"/>
    <w:rsid w:val="00C84194"/>
    <w:rsid w:val="00C84568"/>
    <w:rsid w:val="00C8502F"/>
    <w:rsid w:val="00C8527B"/>
    <w:rsid w:val="00C86B71"/>
    <w:rsid w:val="00C8717B"/>
    <w:rsid w:val="00C90909"/>
    <w:rsid w:val="00C92A68"/>
    <w:rsid w:val="00C9635E"/>
    <w:rsid w:val="00C96605"/>
    <w:rsid w:val="00C968F4"/>
    <w:rsid w:val="00CA08C9"/>
    <w:rsid w:val="00CA1601"/>
    <w:rsid w:val="00CA19CB"/>
    <w:rsid w:val="00CA2164"/>
    <w:rsid w:val="00CA4173"/>
    <w:rsid w:val="00CA429B"/>
    <w:rsid w:val="00CA5138"/>
    <w:rsid w:val="00CA6340"/>
    <w:rsid w:val="00CA6C6B"/>
    <w:rsid w:val="00CA7218"/>
    <w:rsid w:val="00CA76C6"/>
    <w:rsid w:val="00CB09AA"/>
    <w:rsid w:val="00CB1B40"/>
    <w:rsid w:val="00CB3050"/>
    <w:rsid w:val="00CB3CCD"/>
    <w:rsid w:val="00CB3F30"/>
    <w:rsid w:val="00CC1B7A"/>
    <w:rsid w:val="00CC205F"/>
    <w:rsid w:val="00CC2693"/>
    <w:rsid w:val="00CC2B5A"/>
    <w:rsid w:val="00CC2ECC"/>
    <w:rsid w:val="00CC5184"/>
    <w:rsid w:val="00CC68C8"/>
    <w:rsid w:val="00CD0226"/>
    <w:rsid w:val="00CD1908"/>
    <w:rsid w:val="00CD2217"/>
    <w:rsid w:val="00CD5660"/>
    <w:rsid w:val="00CD5BCF"/>
    <w:rsid w:val="00CD5FE0"/>
    <w:rsid w:val="00CE2167"/>
    <w:rsid w:val="00CE5742"/>
    <w:rsid w:val="00CE5F7B"/>
    <w:rsid w:val="00CE663A"/>
    <w:rsid w:val="00CF0120"/>
    <w:rsid w:val="00CF044B"/>
    <w:rsid w:val="00CF25A3"/>
    <w:rsid w:val="00CF3DAA"/>
    <w:rsid w:val="00CF4911"/>
    <w:rsid w:val="00CF4EA7"/>
    <w:rsid w:val="00CF5FCB"/>
    <w:rsid w:val="00CF6849"/>
    <w:rsid w:val="00CF6A26"/>
    <w:rsid w:val="00CF7B94"/>
    <w:rsid w:val="00D02112"/>
    <w:rsid w:val="00D028E2"/>
    <w:rsid w:val="00D03389"/>
    <w:rsid w:val="00D03FC7"/>
    <w:rsid w:val="00D04E29"/>
    <w:rsid w:val="00D05598"/>
    <w:rsid w:val="00D0634F"/>
    <w:rsid w:val="00D069E0"/>
    <w:rsid w:val="00D06A21"/>
    <w:rsid w:val="00D10964"/>
    <w:rsid w:val="00D11DBA"/>
    <w:rsid w:val="00D12A29"/>
    <w:rsid w:val="00D12DA1"/>
    <w:rsid w:val="00D20224"/>
    <w:rsid w:val="00D224BE"/>
    <w:rsid w:val="00D237CE"/>
    <w:rsid w:val="00D23C0C"/>
    <w:rsid w:val="00D247ED"/>
    <w:rsid w:val="00D25D49"/>
    <w:rsid w:val="00D27C92"/>
    <w:rsid w:val="00D30867"/>
    <w:rsid w:val="00D338F6"/>
    <w:rsid w:val="00D34474"/>
    <w:rsid w:val="00D34627"/>
    <w:rsid w:val="00D419FF"/>
    <w:rsid w:val="00D42787"/>
    <w:rsid w:val="00D435D4"/>
    <w:rsid w:val="00D4414E"/>
    <w:rsid w:val="00D4553F"/>
    <w:rsid w:val="00D46D97"/>
    <w:rsid w:val="00D46FA6"/>
    <w:rsid w:val="00D500DA"/>
    <w:rsid w:val="00D50810"/>
    <w:rsid w:val="00D50B78"/>
    <w:rsid w:val="00D523C8"/>
    <w:rsid w:val="00D55F37"/>
    <w:rsid w:val="00D567F2"/>
    <w:rsid w:val="00D56A40"/>
    <w:rsid w:val="00D61A74"/>
    <w:rsid w:val="00D623CE"/>
    <w:rsid w:val="00D629F2"/>
    <w:rsid w:val="00D63B1E"/>
    <w:rsid w:val="00D64108"/>
    <w:rsid w:val="00D641A3"/>
    <w:rsid w:val="00D64568"/>
    <w:rsid w:val="00D64AA6"/>
    <w:rsid w:val="00D66223"/>
    <w:rsid w:val="00D66398"/>
    <w:rsid w:val="00D6678B"/>
    <w:rsid w:val="00D66F16"/>
    <w:rsid w:val="00D67107"/>
    <w:rsid w:val="00D6726A"/>
    <w:rsid w:val="00D67328"/>
    <w:rsid w:val="00D67C07"/>
    <w:rsid w:val="00D67C6D"/>
    <w:rsid w:val="00D700E3"/>
    <w:rsid w:val="00D70931"/>
    <w:rsid w:val="00D7249E"/>
    <w:rsid w:val="00D732D3"/>
    <w:rsid w:val="00D73E4F"/>
    <w:rsid w:val="00D761CE"/>
    <w:rsid w:val="00D76E2F"/>
    <w:rsid w:val="00D80DFC"/>
    <w:rsid w:val="00D80EE9"/>
    <w:rsid w:val="00D81196"/>
    <w:rsid w:val="00D81905"/>
    <w:rsid w:val="00D81DC6"/>
    <w:rsid w:val="00D82B86"/>
    <w:rsid w:val="00D83039"/>
    <w:rsid w:val="00D8362C"/>
    <w:rsid w:val="00D85612"/>
    <w:rsid w:val="00D8643D"/>
    <w:rsid w:val="00D87D2C"/>
    <w:rsid w:val="00D920D6"/>
    <w:rsid w:val="00D922BD"/>
    <w:rsid w:val="00D9459F"/>
    <w:rsid w:val="00D959AA"/>
    <w:rsid w:val="00DA02D0"/>
    <w:rsid w:val="00DA103A"/>
    <w:rsid w:val="00DA1062"/>
    <w:rsid w:val="00DA470D"/>
    <w:rsid w:val="00DA48CA"/>
    <w:rsid w:val="00DA5737"/>
    <w:rsid w:val="00DA5EF9"/>
    <w:rsid w:val="00DA6034"/>
    <w:rsid w:val="00DA6DDB"/>
    <w:rsid w:val="00DA6DF8"/>
    <w:rsid w:val="00DA6FA4"/>
    <w:rsid w:val="00DA7642"/>
    <w:rsid w:val="00DA76DE"/>
    <w:rsid w:val="00DB0526"/>
    <w:rsid w:val="00DB10A8"/>
    <w:rsid w:val="00DB1436"/>
    <w:rsid w:val="00DB2DB1"/>
    <w:rsid w:val="00DB2E7D"/>
    <w:rsid w:val="00DB3B94"/>
    <w:rsid w:val="00DB4F6A"/>
    <w:rsid w:val="00DB52F2"/>
    <w:rsid w:val="00DB72FC"/>
    <w:rsid w:val="00DC0EEF"/>
    <w:rsid w:val="00DC106F"/>
    <w:rsid w:val="00DC15EE"/>
    <w:rsid w:val="00DC266B"/>
    <w:rsid w:val="00DC33B6"/>
    <w:rsid w:val="00DC38B1"/>
    <w:rsid w:val="00DC39C8"/>
    <w:rsid w:val="00DC4D83"/>
    <w:rsid w:val="00DC5AB5"/>
    <w:rsid w:val="00DC780D"/>
    <w:rsid w:val="00DC7DC8"/>
    <w:rsid w:val="00DD2F96"/>
    <w:rsid w:val="00DD3CE5"/>
    <w:rsid w:val="00DD4E09"/>
    <w:rsid w:val="00DD4FB2"/>
    <w:rsid w:val="00DD530F"/>
    <w:rsid w:val="00DD6809"/>
    <w:rsid w:val="00DD7E64"/>
    <w:rsid w:val="00DE09BB"/>
    <w:rsid w:val="00DE15E0"/>
    <w:rsid w:val="00DE24B9"/>
    <w:rsid w:val="00DE25D9"/>
    <w:rsid w:val="00DE27C2"/>
    <w:rsid w:val="00DE4508"/>
    <w:rsid w:val="00DE557E"/>
    <w:rsid w:val="00DE5D44"/>
    <w:rsid w:val="00DE6D0C"/>
    <w:rsid w:val="00DF0CA0"/>
    <w:rsid w:val="00DF34CA"/>
    <w:rsid w:val="00DF3701"/>
    <w:rsid w:val="00DF416D"/>
    <w:rsid w:val="00DF4FDC"/>
    <w:rsid w:val="00DF50F0"/>
    <w:rsid w:val="00DF64CC"/>
    <w:rsid w:val="00DF6F71"/>
    <w:rsid w:val="00DF761F"/>
    <w:rsid w:val="00E011A4"/>
    <w:rsid w:val="00E039FF"/>
    <w:rsid w:val="00E048B7"/>
    <w:rsid w:val="00E10A06"/>
    <w:rsid w:val="00E10F08"/>
    <w:rsid w:val="00E11992"/>
    <w:rsid w:val="00E11AC9"/>
    <w:rsid w:val="00E11FAF"/>
    <w:rsid w:val="00E12218"/>
    <w:rsid w:val="00E12F25"/>
    <w:rsid w:val="00E13643"/>
    <w:rsid w:val="00E16110"/>
    <w:rsid w:val="00E1625A"/>
    <w:rsid w:val="00E165E9"/>
    <w:rsid w:val="00E17B4D"/>
    <w:rsid w:val="00E17CB3"/>
    <w:rsid w:val="00E219E4"/>
    <w:rsid w:val="00E23205"/>
    <w:rsid w:val="00E24C22"/>
    <w:rsid w:val="00E26420"/>
    <w:rsid w:val="00E26554"/>
    <w:rsid w:val="00E2688E"/>
    <w:rsid w:val="00E26918"/>
    <w:rsid w:val="00E26D18"/>
    <w:rsid w:val="00E26FFD"/>
    <w:rsid w:val="00E3107D"/>
    <w:rsid w:val="00E32D68"/>
    <w:rsid w:val="00E340CC"/>
    <w:rsid w:val="00E34C2D"/>
    <w:rsid w:val="00E35388"/>
    <w:rsid w:val="00E35A72"/>
    <w:rsid w:val="00E3721A"/>
    <w:rsid w:val="00E3781F"/>
    <w:rsid w:val="00E42048"/>
    <w:rsid w:val="00E42060"/>
    <w:rsid w:val="00E423F8"/>
    <w:rsid w:val="00E44281"/>
    <w:rsid w:val="00E46BC9"/>
    <w:rsid w:val="00E510F9"/>
    <w:rsid w:val="00E51182"/>
    <w:rsid w:val="00E52513"/>
    <w:rsid w:val="00E546C8"/>
    <w:rsid w:val="00E547E7"/>
    <w:rsid w:val="00E60152"/>
    <w:rsid w:val="00E603A1"/>
    <w:rsid w:val="00E60669"/>
    <w:rsid w:val="00E61382"/>
    <w:rsid w:val="00E617D6"/>
    <w:rsid w:val="00E6206E"/>
    <w:rsid w:val="00E645B4"/>
    <w:rsid w:val="00E64994"/>
    <w:rsid w:val="00E716E3"/>
    <w:rsid w:val="00E7175B"/>
    <w:rsid w:val="00E72ED2"/>
    <w:rsid w:val="00E73C4A"/>
    <w:rsid w:val="00E73E35"/>
    <w:rsid w:val="00E757B0"/>
    <w:rsid w:val="00E76979"/>
    <w:rsid w:val="00E81137"/>
    <w:rsid w:val="00E8121C"/>
    <w:rsid w:val="00E8157A"/>
    <w:rsid w:val="00E827B6"/>
    <w:rsid w:val="00E82B76"/>
    <w:rsid w:val="00E84A3C"/>
    <w:rsid w:val="00E8526F"/>
    <w:rsid w:val="00E8681F"/>
    <w:rsid w:val="00E86E6A"/>
    <w:rsid w:val="00E87D9D"/>
    <w:rsid w:val="00E921EE"/>
    <w:rsid w:val="00E92603"/>
    <w:rsid w:val="00E92820"/>
    <w:rsid w:val="00E93DE7"/>
    <w:rsid w:val="00E95FFC"/>
    <w:rsid w:val="00E96284"/>
    <w:rsid w:val="00E969F5"/>
    <w:rsid w:val="00E9775B"/>
    <w:rsid w:val="00EA0218"/>
    <w:rsid w:val="00EA04E5"/>
    <w:rsid w:val="00EA0589"/>
    <w:rsid w:val="00EA1D3A"/>
    <w:rsid w:val="00EA2410"/>
    <w:rsid w:val="00EA3DDC"/>
    <w:rsid w:val="00EA5128"/>
    <w:rsid w:val="00EA543B"/>
    <w:rsid w:val="00EA5864"/>
    <w:rsid w:val="00EA670C"/>
    <w:rsid w:val="00EA7846"/>
    <w:rsid w:val="00EB44F2"/>
    <w:rsid w:val="00EB51FF"/>
    <w:rsid w:val="00EC0E98"/>
    <w:rsid w:val="00EC0EF4"/>
    <w:rsid w:val="00EC2375"/>
    <w:rsid w:val="00EC46C8"/>
    <w:rsid w:val="00EC52D7"/>
    <w:rsid w:val="00EC5D05"/>
    <w:rsid w:val="00EC6577"/>
    <w:rsid w:val="00EC6635"/>
    <w:rsid w:val="00EC77D8"/>
    <w:rsid w:val="00ED034F"/>
    <w:rsid w:val="00ED63E7"/>
    <w:rsid w:val="00ED6EC5"/>
    <w:rsid w:val="00EE01CB"/>
    <w:rsid w:val="00EE0508"/>
    <w:rsid w:val="00EE05A9"/>
    <w:rsid w:val="00EE0E23"/>
    <w:rsid w:val="00EE147C"/>
    <w:rsid w:val="00EE1857"/>
    <w:rsid w:val="00EE2313"/>
    <w:rsid w:val="00EE5EAF"/>
    <w:rsid w:val="00EE5FEB"/>
    <w:rsid w:val="00EE7B74"/>
    <w:rsid w:val="00EF20A8"/>
    <w:rsid w:val="00EF5081"/>
    <w:rsid w:val="00EF5B41"/>
    <w:rsid w:val="00EF6D6A"/>
    <w:rsid w:val="00F02101"/>
    <w:rsid w:val="00F0287E"/>
    <w:rsid w:val="00F03010"/>
    <w:rsid w:val="00F03D51"/>
    <w:rsid w:val="00F079A8"/>
    <w:rsid w:val="00F10A13"/>
    <w:rsid w:val="00F128DA"/>
    <w:rsid w:val="00F13033"/>
    <w:rsid w:val="00F1309E"/>
    <w:rsid w:val="00F1576F"/>
    <w:rsid w:val="00F15B9E"/>
    <w:rsid w:val="00F15F8F"/>
    <w:rsid w:val="00F166A0"/>
    <w:rsid w:val="00F20BF9"/>
    <w:rsid w:val="00F20E2A"/>
    <w:rsid w:val="00F214B7"/>
    <w:rsid w:val="00F21748"/>
    <w:rsid w:val="00F21A59"/>
    <w:rsid w:val="00F23FD6"/>
    <w:rsid w:val="00F24D89"/>
    <w:rsid w:val="00F25169"/>
    <w:rsid w:val="00F279FB"/>
    <w:rsid w:val="00F27C31"/>
    <w:rsid w:val="00F31B29"/>
    <w:rsid w:val="00F32DD1"/>
    <w:rsid w:val="00F32E10"/>
    <w:rsid w:val="00F33522"/>
    <w:rsid w:val="00F34517"/>
    <w:rsid w:val="00F34951"/>
    <w:rsid w:val="00F36125"/>
    <w:rsid w:val="00F3655F"/>
    <w:rsid w:val="00F41DB3"/>
    <w:rsid w:val="00F42BC5"/>
    <w:rsid w:val="00F44F2F"/>
    <w:rsid w:val="00F45F3F"/>
    <w:rsid w:val="00F463EA"/>
    <w:rsid w:val="00F46790"/>
    <w:rsid w:val="00F47ABD"/>
    <w:rsid w:val="00F500F9"/>
    <w:rsid w:val="00F544F8"/>
    <w:rsid w:val="00F553D6"/>
    <w:rsid w:val="00F55C6B"/>
    <w:rsid w:val="00F55E78"/>
    <w:rsid w:val="00F60BDB"/>
    <w:rsid w:val="00F62B46"/>
    <w:rsid w:val="00F62E1E"/>
    <w:rsid w:val="00F6446F"/>
    <w:rsid w:val="00F65351"/>
    <w:rsid w:val="00F65588"/>
    <w:rsid w:val="00F65936"/>
    <w:rsid w:val="00F662D9"/>
    <w:rsid w:val="00F67E85"/>
    <w:rsid w:val="00F7091F"/>
    <w:rsid w:val="00F70BA8"/>
    <w:rsid w:val="00F70D89"/>
    <w:rsid w:val="00F70E53"/>
    <w:rsid w:val="00F730DA"/>
    <w:rsid w:val="00F7395A"/>
    <w:rsid w:val="00F75B15"/>
    <w:rsid w:val="00F763A2"/>
    <w:rsid w:val="00F76BF8"/>
    <w:rsid w:val="00F77D6C"/>
    <w:rsid w:val="00F80E25"/>
    <w:rsid w:val="00F80F9F"/>
    <w:rsid w:val="00F814E7"/>
    <w:rsid w:val="00F821AE"/>
    <w:rsid w:val="00F82B9E"/>
    <w:rsid w:val="00F82DAC"/>
    <w:rsid w:val="00F83031"/>
    <w:rsid w:val="00F84244"/>
    <w:rsid w:val="00F84304"/>
    <w:rsid w:val="00F84960"/>
    <w:rsid w:val="00F849B8"/>
    <w:rsid w:val="00F85862"/>
    <w:rsid w:val="00F85F2B"/>
    <w:rsid w:val="00F86070"/>
    <w:rsid w:val="00F86465"/>
    <w:rsid w:val="00F86D03"/>
    <w:rsid w:val="00F9047F"/>
    <w:rsid w:val="00F90A0C"/>
    <w:rsid w:val="00F9355A"/>
    <w:rsid w:val="00F95097"/>
    <w:rsid w:val="00F955E8"/>
    <w:rsid w:val="00F95670"/>
    <w:rsid w:val="00F96207"/>
    <w:rsid w:val="00FA1FAD"/>
    <w:rsid w:val="00FA383A"/>
    <w:rsid w:val="00FA44A8"/>
    <w:rsid w:val="00FA59E4"/>
    <w:rsid w:val="00FA5B2B"/>
    <w:rsid w:val="00FA6143"/>
    <w:rsid w:val="00FA68B4"/>
    <w:rsid w:val="00FA70A0"/>
    <w:rsid w:val="00FA7863"/>
    <w:rsid w:val="00FB28BB"/>
    <w:rsid w:val="00FB505F"/>
    <w:rsid w:val="00FB5B0D"/>
    <w:rsid w:val="00FB64A3"/>
    <w:rsid w:val="00FB6C2D"/>
    <w:rsid w:val="00FC1CA8"/>
    <w:rsid w:val="00FC2198"/>
    <w:rsid w:val="00FC2BB6"/>
    <w:rsid w:val="00FC3B68"/>
    <w:rsid w:val="00FC4450"/>
    <w:rsid w:val="00FC4C11"/>
    <w:rsid w:val="00FC564D"/>
    <w:rsid w:val="00FC5968"/>
    <w:rsid w:val="00FC78C3"/>
    <w:rsid w:val="00FD0845"/>
    <w:rsid w:val="00FD18FE"/>
    <w:rsid w:val="00FD3740"/>
    <w:rsid w:val="00FD3811"/>
    <w:rsid w:val="00FD550E"/>
    <w:rsid w:val="00FD6403"/>
    <w:rsid w:val="00FD6CB9"/>
    <w:rsid w:val="00FD7BAE"/>
    <w:rsid w:val="00FE052F"/>
    <w:rsid w:val="00FE075C"/>
    <w:rsid w:val="00FE2AB3"/>
    <w:rsid w:val="00FE3175"/>
    <w:rsid w:val="00FE3963"/>
    <w:rsid w:val="00FE3D07"/>
    <w:rsid w:val="00FE41CC"/>
    <w:rsid w:val="00FE489C"/>
    <w:rsid w:val="00FE4959"/>
    <w:rsid w:val="00FE523E"/>
    <w:rsid w:val="00FE6F8E"/>
    <w:rsid w:val="00FF0484"/>
    <w:rsid w:val="00FF221A"/>
    <w:rsid w:val="00FF2D25"/>
    <w:rsid w:val="00FF3CC1"/>
    <w:rsid w:val="00FF409A"/>
    <w:rsid w:val="00FF42E2"/>
    <w:rsid w:val="00FF546F"/>
    <w:rsid w:val="00FF6186"/>
    <w:rsid w:val="00FF62E7"/>
    <w:rsid w:val="00FF62EB"/>
    <w:rsid w:val="00FF7C4C"/>
    <w:rsid w:val="0151C52C"/>
    <w:rsid w:val="015CFC8F"/>
    <w:rsid w:val="01B29550"/>
    <w:rsid w:val="01EA54B2"/>
    <w:rsid w:val="02162FC3"/>
    <w:rsid w:val="027A3C48"/>
    <w:rsid w:val="037175F1"/>
    <w:rsid w:val="04520E83"/>
    <w:rsid w:val="049FB2DF"/>
    <w:rsid w:val="04C20666"/>
    <w:rsid w:val="05EE2B4A"/>
    <w:rsid w:val="062755A6"/>
    <w:rsid w:val="069FFFFF"/>
    <w:rsid w:val="078910CE"/>
    <w:rsid w:val="07CC7B25"/>
    <w:rsid w:val="0AE473D6"/>
    <w:rsid w:val="0B72374E"/>
    <w:rsid w:val="0C092C04"/>
    <w:rsid w:val="0C0F355F"/>
    <w:rsid w:val="0C427241"/>
    <w:rsid w:val="0C473B18"/>
    <w:rsid w:val="0CDEB822"/>
    <w:rsid w:val="0DB132F3"/>
    <w:rsid w:val="0E1864DB"/>
    <w:rsid w:val="0E50CA76"/>
    <w:rsid w:val="0F7CF246"/>
    <w:rsid w:val="0FA42D85"/>
    <w:rsid w:val="1037B475"/>
    <w:rsid w:val="1063D645"/>
    <w:rsid w:val="10FD3155"/>
    <w:rsid w:val="121B1A32"/>
    <w:rsid w:val="12642988"/>
    <w:rsid w:val="127D6062"/>
    <w:rsid w:val="12C213C8"/>
    <w:rsid w:val="12CDD8B1"/>
    <w:rsid w:val="143D7B21"/>
    <w:rsid w:val="14999C53"/>
    <w:rsid w:val="14A5CB01"/>
    <w:rsid w:val="15C267F4"/>
    <w:rsid w:val="15CF5C14"/>
    <w:rsid w:val="15E7810E"/>
    <w:rsid w:val="1715DB37"/>
    <w:rsid w:val="1722612F"/>
    <w:rsid w:val="173BE2DE"/>
    <w:rsid w:val="175D0735"/>
    <w:rsid w:val="17DDE26A"/>
    <w:rsid w:val="181FDDE6"/>
    <w:rsid w:val="18FB23C9"/>
    <w:rsid w:val="1968A035"/>
    <w:rsid w:val="1987C47C"/>
    <w:rsid w:val="1A4213E1"/>
    <w:rsid w:val="1A4E27AB"/>
    <w:rsid w:val="1A5C28FB"/>
    <w:rsid w:val="1B32BAB5"/>
    <w:rsid w:val="1BBE11C9"/>
    <w:rsid w:val="1BFDCAD6"/>
    <w:rsid w:val="1CF45B95"/>
    <w:rsid w:val="1D2EC0F5"/>
    <w:rsid w:val="1DCE8C4A"/>
    <w:rsid w:val="1DF49CE7"/>
    <w:rsid w:val="1F95AD57"/>
    <w:rsid w:val="1FB13063"/>
    <w:rsid w:val="1FC3FD59"/>
    <w:rsid w:val="206EAF75"/>
    <w:rsid w:val="20CB3C8D"/>
    <w:rsid w:val="20FA57FC"/>
    <w:rsid w:val="220E7639"/>
    <w:rsid w:val="2353AC76"/>
    <w:rsid w:val="238A039B"/>
    <w:rsid w:val="238E88F3"/>
    <w:rsid w:val="2392EA72"/>
    <w:rsid w:val="23AD398A"/>
    <w:rsid w:val="23EC77FE"/>
    <w:rsid w:val="23F89F91"/>
    <w:rsid w:val="23FA6CC7"/>
    <w:rsid w:val="2415D1B5"/>
    <w:rsid w:val="24D7844D"/>
    <w:rsid w:val="2533D889"/>
    <w:rsid w:val="27044132"/>
    <w:rsid w:val="270DCD6B"/>
    <w:rsid w:val="272F8023"/>
    <w:rsid w:val="27B26580"/>
    <w:rsid w:val="286093F7"/>
    <w:rsid w:val="2878C483"/>
    <w:rsid w:val="2967B265"/>
    <w:rsid w:val="29D4EAE6"/>
    <w:rsid w:val="2A3943AE"/>
    <w:rsid w:val="2A4DDD85"/>
    <w:rsid w:val="2A862577"/>
    <w:rsid w:val="2ADEC0EE"/>
    <w:rsid w:val="2AE1299F"/>
    <w:rsid w:val="2AE7C70D"/>
    <w:rsid w:val="2BE7C6D5"/>
    <w:rsid w:val="2BF37912"/>
    <w:rsid w:val="2C591DD1"/>
    <w:rsid w:val="2E366E8B"/>
    <w:rsid w:val="2F4C6325"/>
    <w:rsid w:val="2F7F8AA3"/>
    <w:rsid w:val="2F9CF050"/>
    <w:rsid w:val="2FEFAD47"/>
    <w:rsid w:val="3045EE6D"/>
    <w:rsid w:val="306E7002"/>
    <w:rsid w:val="3094596D"/>
    <w:rsid w:val="31286C3D"/>
    <w:rsid w:val="31B4EE78"/>
    <w:rsid w:val="31C08775"/>
    <w:rsid w:val="31FEAF5E"/>
    <w:rsid w:val="32A3EFB1"/>
    <w:rsid w:val="32B57F8B"/>
    <w:rsid w:val="33140132"/>
    <w:rsid w:val="332F81C1"/>
    <w:rsid w:val="335A7BA8"/>
    <w:rsid w:val="339D29D5"/>
    <w:rsid w:val="33BE0515"/>
    <w:rsid w:val="3512F770"/>
    <w:rsid w:val="35620132"/>
    <w:rsid w:val="35B0EDF1"/>
    <w:rsid w:val="366A9568"/>
    <w:rsid w:val="369A2847"/>
    <w:rsid w:val="38156424"/>
    <w:rsid w:val="38589A38"/>
    <w:rsid w:val="38E8C82C"/>
    <w:rsid w:val="38F4B9C8"/>
    <w:rsid w:val="3937069A"/>
    <w:rsid w:val="3A1E6A23"/>
    <w:rsid w:val="3AD3EF51"/>
    <w:rsid w:val="3AE80A2C"/>
    <w:rsid w:val="3B745D15"/>
    <w:rsid w:val="3B76C160"/>
    <w:rsid w:val="3BC61FE7"/>
    <w:rsid w:val="3BFA9170"/>
    <w:rsid w:val="3CD0C398"/>
    <w:rsid w:val="3CE9473C"/>
    <w:rsid w:val="3CF8CC78"/>
    <w:rsid w:val="3CF91EC7"/>
    <w:rsid w:val="3DC5DD60"/>
    <w:rsid w:val="3DEE8445"/>
    <w:rsid w:val="3E14FC1E"/>
    <w:rsid w:val="3E612572"/>
    <w:rsid w:val="3EB8F462"/>
    <w:rsid w:val="3EDB7FBD"/>
    <w:rsid w:val="3EF03EF3"/>
    <w:rsid w:val="3FA1BBC7"/>
    <w:rsid w:val="3FB42881"/>
    <w:rsid w:val="4038556D"/>
    <w:rsid w:val="408EFF56"/>
    <w:rsid w:val="41760C06"/>
    <w:rsid w:val="41775E84"/>
    <w:rsid w:val="418F204D"/>
    <w:rsid w:val="425A504A"/>
    <w:rsid w:val="429AC046"/>
    <w:rsid w:val="42B3368B"/>
    <w:rsid w:val="42DBE51E"/>
    <w:rsid w:val="437263D6"/>
    <w:rsid w:val="43F8753E"/>
    <w:rsid w:val="4446AD85"/>
    <w:rsid w:val="4482CF96"/>
    <w:rsid w:val="453CB62E"/>
    <w:rsid w:val="458C1A82"/>
    <w:rsid w:val="45B9F825"/>
    <w:rsid w:val="462519B2"/>
    <w:rsid w:val="46AAF70B"/>
    <w:rsid w:val="46BC3339"/>
    <w:rsid w:val="47D7015F"/>
    <w:rsid w:val="481AAD9C"/>
    <w:rsid w:val="4832EB43"/>
    <w:rsid w:val="49516F9C"/>
    <w:rsid w:val="4A4238F0"/>
    <w:rsid w:val="4A4798F8"/>
    <w:rsid w:val="4AA37CEA"/>
    <w:rsid w:val="4AAD507E"/>
    <w:rsid w:val="4AC1C83F"/>
    <w:rsid w:val="4AE021D3"/>
    <w:rsid w:val="4AE8C99A"/>
    <w:rsid w:val="4BCAA89D"/>
    <w:rsid w:val="4C040A48"/>
    <w:rsid w:val="4D1C8B55"/>
    <w:rsid w:val="4D324DA2"/>
    <w:rsid w:val="4D6A4C7F"/>
    <w:rsid w:val="4EC09F61"/>
    <w:rsid w:val="4F9FD738"/>
    <w:rsid w:val="4FF398FD"/>
    <w:rsid w:val="50F4AF92"/>
    <w:rsid w:val="511A2F9D"/>
    <w:rsid w:val="519ECDAC"/>
    <w:rsid w:val="51CDFA25"/>
    <w:rsid w:val="5265AF41"/>
    <w:rsid w:val="529B8A69"/>
    <w:rsid w:val="536383EE"/>
    <w:rsid w:val="53B85AC0"/>
    <w:rsid w:val="54709473"/>
    <w:rsid w:val="54E5CCB5"/>
    <w:rsid w:val="55085591"/>
    <w:rsid w:val="55688824"/>
    <w:rsid w:val="55BF4F17"/>
    <w:rsid w:val="56496B0D"/>
    <w:rsid w:val="56EA6972"/>
    <w:rsid w:val="57A54283"/>
    <w:rsid w:val="57B7A34F"/>
    <w:rsid w:val="57E14165"/>
    <w:rsid w:val="588CA895"/>
    <w:rsid w:val="58BF2FCC"/>
    <w:rsid w:val="591C7E2E"/>
    <w:rsid w:val="59D8DDC9"/>
    <w:rsid w:val="5A071712"/>
    <w:rsid w:val="5A12011C"/>
    <w:rsid w:val="5A303CDB"/>
    <w:rsid w:val="5A6D3F59"/>
    <w:rsid w:val="5A8F5D34"/>
    <w:rsid w:val="5AF646EA"/>
    <w:rsid w:val="5B228CC4"/>
    <w:rsid w:val="5B5D4146"/>
    <w:rsid w:val="5B9BE8E5"/>
    <w:rsid w:val="5CC73425"/>
    <w:rsid w:val="5D0A621E"/>
    <w:rsid w:val="5DC6049B"/>
    <w:rsid w:val="5DEEF6B5"/>
    <w:rsid w:val="5E526511"/>
    <w:rsid w:val="5E74D500"/>
    <w:rsid w:val="5F1CF299"/>
    <w:rsid w:val="5F3D1BD2"/>
    <w:rsid w:val="6020DCB6"/>
    <w:rsid w:val="61540FBA"/>
    <w:rsid w:val="61588538"/>
    <w:rsid w:val="62794DE0"/>
    <w:rsid w:val="638D1F5E"/>
    <w:rsid w:val="63B22C54"/>
    <w:rsid w:val="64EDCDF2"/>
    <w:rsid w:val="6708928B"/>
    <w:rsid w:val="6737D590"/>
    <w:rsid w:val="688AEEBA"/>
    <w:rsid w:val="68A7F538"/>
    <w:rsid w:val="68B874A8"/>
    <w:rsid w:val="6963E561"/>
    <w:rsid w:val="69DE5330"/>
    <w:rsid w:val="6A1EB687"/>
    <w:rsid w:val="6A23F046"/>
    <w:rsid w:val="6A2754D0"/>
    <w:rsid w:val="6AFD35E6"/>
    <w:rsid w:val="6B3BD976"/>
    <w:rsid w:val="6C640338"/>
    <w:rsid w:val="6CDDDAC6"/>
    <w:rsid w:val="6CFBA1C7"/>
    <w:rsid w:val="6CFC903E"/>
    <w:rsid w:val="6F1C4D37"/>
    <w:rsid w:val="6F8BB14F"/>
    <w:rsid w:val="704C3C19"/>
    <w:rsid w:val="707F0076"/>
    <w:rsid w:val="709E8DC4"/>
    <w:rsid w:val="711410D6"/>
    <w:rsid w:val="7253ABBE"/>
    <w:rsid w:val="7275AF56"/>
    <w:rsid w:val="72B25B76"/>
    <w:rsid w:val="73138DC9"/>
    <w:rsid w:val="73920E58"/>
    <w:rsid w:val="74054F32"/>
    <w:rsid w:val="748EDA81"/>
    <w:rsid w:val="74C1B054"/>
    <w:rsid w:val="776E03D0"/>
    <w:rsid w:val="77B6C3D8"/>
    <w:rsid w:val="77EB6E88"/>
    <w:rsid w:val="7806CA46"/>
    <w:rsid w:val="794FE082"/>
    <w:rsid w:val="794FFCB3"/>
    <w:rsid w:val="797AB5D3"/>
    <w:rsid w:val="7AFCB63B"/>
    <w:rsid w:val="7BE03868"/>
    <w:rsid w:val="7C0DE8E2"/>
    <w:rsid w:val="7C747957"/>
    <w:rsid w:val="7CF73A3E"/>
    <w:rsid w:val="7D5FF5F2"/>
    <w:rsid w:val="7DE1BEA4"/>
    <w:rsid w:val="7E4ACC0E"/>
    <w:rsid w:val="7F10352B"/>
    <w:rsid w:val="7FA8E559"/>
    <w:rsid w:val="7FC3014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D48E1"/>
  <w15:chartTrackingRefBased/>
  <w15:docId w15:val="{7C8B9F6B-2E70-46C5-832C-879071E93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1B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a"/>
    <w:basedOn w:val="Normal"/>
    <w:link w:val="ListParagraphChar"/>
    <w:uiPriority w:val="34"/>
    <w:qFormat/>
    <w:rsid w:val="005547A8"/>
    <w:pPr>
      <w:ind w:left="720"/>
      <w:contextualSpacing/>
    </w:pPr>
  </w:style>
  <w:style w:type="paragraph" w:customStyle="1" w:styleId="Legalcopyletter">
    <w:name w:val="Legal copy letter"/>
    <w:qFormat/>
    <w:rsid w:val="00A764B6"/>
    <w:pPr>
      <w:spacing w:after="0" w:line="240" w:lineRule="auto"/>
    </w:pPr>
    <w:rPr>
      <w:rFonts w:ascii="Arial" w:eastAsia="Times" w:hAnsi="Arial" w:cs="Times New Roman"/>
      <w:color w:val="002776"/>
      <w:sz w:val="14"/>
      <w:szCs w:val="20"/>
      <w:lang w:val="en-US"/>
    </w:rPr>
  </w:style>
  <w:style w:type="table" w:styleId="TableGrid">
    <w:name w:val="Table Grid"/>
    <w:basedOn w:val="TableNormal"/>
    <w:uiPriority w:val="39"/>
    <w:rsid w:val="00A76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
    <w:name w:val="List Table 3"/>
    <w:basedOn w:val="TableNormal"/>
    <w:uiPriority w:val="48"/>
    <w:rsid w:val="000C3B43"/>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6">
    <w:name w:val="List Table 3 Accent 6"/>
    <w:basedOn w:val="TableNormal"/>
    <w:uiPriority w:val="48"/>
    <w:rsid w:val="00DA5737"/>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paragraph" w:styleId="BalloonText">
    <w:name w:val="Balloon Text"/>
    <w:basedOn w:val="Normal"/>
    <w:link w:val="BalloonTextChar"/>
    <w:uiPriority w:val="99"/>
    <w:semiHidden/>
    <w:unhideWhenUsed/>
    <w:rsid w:val="00DA57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5737"/>
    <w:rPr>
      <w:rFonts w:ascii="Segoe UI" w:hAnsi="Segoe UI" w:cs="Segoe UI"/>
      <w:sz w:val="18"/>
      <w:szCs w:val="18"/>
    </w:rPr>
  </w:style>
  <w:style w:type="paragraph" w:styleId="Header">
    <w:name w:val="header"/>
    <w:basedOn w:val="Normal"/>
    <w:link w:val="HeaderChar"/>
    <w:uiPriority w:val="99"/>
    <w:unhideWhenUsed/>
    <w:rsid w:val="00E219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19E4"/>
  </w:style>
  <w:style w:type="paragraph" w:styleId="Footer">
    <w:name w:val="footer"/>
    <w:basedOn w:val="Normal"/>
    <w:link w:val="FooterChar"/>
    <w:uiPriority w:val="99"/>
    <w:unhideWhenUsed/>
    <w:rsid w:val="00E219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19E4"/>
  </w:style>
  <w:style w:type="character" w:styleId="Hyperlink">
    <w:name w:val="Hyperlink"/>
    <w:basedOn w:val="DefaultParagraphFont"/>
    <w:uiPriority w:val="99"/>
    <w:unhideWhenUsed/>
    <w:rsid w:val="00810015"/>
    <w:rPr>
      <w:color w:val="0563C1" w:themeColor="hyperlink"/>
      <w:u w:val="single"/>
    </w:rPr>
  </w:style>
  <w:style w:type="character" w:styleId="CommentReference">
    <w:name w:val="annotation reference"/>
    <w:basedOn w:val="DefaultParagraphFont"/>
    <w:uiPriority w:val="99"/>
    <w:semiHidden/>
    <w:unhideWhenUsed/>
    <w:rsid w:val="003930CB"/>
    <w:rPr>
      <w:sz w:val="16"/>
      <w:szCs w:val="16"/>
    </w:rPr>
  </w:style>
  <w:style w:type="paragraph" w:styleId="CommentText">
    <w:name w:val="annotation text"/>
    <w:basedOn w:val="Normal"/>
    <w:link w:val="CommentTextChar"/>
    <w:uiPriority w:val="99"/>
    <w:unhideWhenUsed/>
    <w:rsid w:val="003930CB"/>
    <w:pPr>
      <w:spacing w:line="240" w:lineRule="auto"/>
    </w:pPr>
    <w:rPr>
      <w:sz w:val="20"/>
      <w:szCs w:val="20"/>
    </w:rPr>
  </w:style>
  <w:style w:type="character" w:customStyle="1" w:styleId="CommentTextChar">
    <w:name w:val="Comment Text Char"/>
    <w:basedOn w:val="DefaultParagraphFont"/>
    <w:link w:val="CommentText"/>
    <w:uiPriority w:val="99"/>
    <w:rsid w:val="003930CB"/>
    <w:rPr>
      <w:sz w:val="20"/>
      <w:szCs w:val="20"/>
    </w:rPr>
  </w:style>
  <w:style w:type="paragraph" w:styleId="CommentSubject">
    <w:name w:val="annotation subject"/>
    <w:basedOn w:val="CommentText"/>
    <w:next w:val="CommentText"/>
    <w:link w:val="CommentSubjectChar"/>
    <w:uiPriority w:val="99"/>
    <w:semiHidden/>
    <w:unhideWhenUsed/>
    <w:rsid w:val="003930CB"/>
    <w:rPr>
      <w:b/>
      <w:bCs/>
    </w:rPr>
  </w:style>
  <w:style w:type="character" w:customStyle="1" w:styleId="CommentSubjectChar">
    <w:name w:val="Comment Subject Char"/>
    <w:basedOn w:val="CommentTextChar"/>
    <w:link w:val="CommentSubject"/>
    <w:uiPriority w:val="99"/>
    <w:semiHidden/>
    <w:rsid w:val="003930CB"/>
    <w:rPr>
      <w:b/>
      <w:bCs/>
      <w:sz w:val="20"/>
      <w:szCs w:val="20"/>
    </w:rPr>
  </w:style>
  <w:style w:type="paragraph" w:styleId="Revision">
    <w:name w:val="Revision"/>
    <w:hidden/>
    <w:uiPriority w:val="99"/>
    <w:semiHidden/>
    <w:rsid w:val="00180906"/>
    <w:pPr>
      <w:spacing w:after="0" w:line="240" w:lineRule="auto"/>
    </w:pPr>
  </w:style>
  <w:style w:type="paragraph" w:customStyle="1" w:styleId="Default">
    <w:name w:val="Default"/>
    <w:rsid w:val="003F5BC8"/>
    <w:pPr>
      <w:autoSpaceDE w:val="0"/>
      <w:autoSpaceDN w:val="0"/>
      <w:adjustRightInd w:val="0"/>
      <w:spacing w:after="0" w:line="240" w:lineRule="auto"/>
    </w:pPr>
    <w:rPr>
      <w:rFonts w:ascii="Verdana" w:hAnsi="Verdana" w:cs="Verdana"/>
      <w:color w:val="000000"/>
      <w:sz w:val="24"/>
      <w:szCs w:val="24"/>
      <w:lang w:val="en-US"/>
    </w:rPr>
  </w:style>
  <w:style w:type="table" w:styleId="GridTable4-Accent6">
    <w:name w:val="Grid Table 4 Accent 6"/>
    <w:basedOn w:val="TableNormal"/>
    <w:uiPriority w:val="49"/>
    <w:rsid w:val="009205B4"/>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ListParagraphChar">
    <w:name w:val="List Paragraph Char"/>
    <w:aliases w:val="Ha Char"/>
    <w:link w:val="ListParagraph"/>
    <w:uiPriority w:val="34"/>
    <w:rsid w:val="00CA19CB"/>
  </w:style>
  <w:style w:type="character" w:styleId="UnresolvedMention">
    <w:name w:val="Unresolved Mention"/>
    <w:basedOn w:val="DefaultParagraphFont"/>
    <w:uiPriority w:val="99"/>
    <w:semiHidden/>
    <w:unhideWhenUsed/>
    <w:rsid w:val="00605803"/>
    <w:rPr>
      <w:color w:val="605E5C"/>
      <w:shd w:val="clear" w:color="auto" w:fill="E1DFDD"/>
    </w:rPr>
  </w:style>
  <w:style w:type="paragraph" w:styleId="NormalWeb">
    <w:name w:val="Normal (Web)"/>
    <w:basedOn w:val="Normal"/>
    <w:uiPriority w:val="99"/>
    <w:unhideWhenUsed/>
    <w:rsid w:val="007A1C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345D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0503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34507">
      <w:bodyDiv w:val="1"/>
      <w:marLeft w:val="0"/>
      <w:marRight w:val="0"/>
      <w:marTop w:val="0"/>
      <w:marBottom w:val="0"/>
      <w:divBdr>
        <w:top w:val="none" w:sz="0" w:space="0" w:color="auto"/>
        <w:left w:val="none" w:sz="0" w:space="0" w:color="auto"/>
        <w:bottom w:val="none" w:sz="0" w:space="0" w:color="auto"/>
        <w:right w:val="none" w:sz="0" w:space="0" w:color="auto"/>
      </w:divBdr>
      <w:divsChild>
        <w:div w:id="206837975">
          <w:marLeft w:val="288"/>
          <w:marRight w:val="0"/>
          <w:marTop w:val="0"/>
          <w:marBottom w:val="80"/>
          <w:divBdr>
            <w:top w:val="none" w:sz="0" w:space="0" w:color="auto"/>
            <w:left w:val="none" w:sz="0" w:space="0" w:color="auto"/>
            <w:bottom w:val="none" w:sz="0" w:space="0" w:color="auto"/>
            <w:right w:val="none" w:sz="0" w:space="0" w:color="auto"/>
          </w:divBdr>
        </w:div>
      </w:divsChild>
    </w:div>
    <w:div w:id="397940522">
      <w:bodyDiv w:val="1"/>
      <w:marLeft w:val="0"/>
      <w:marRight w:val="0"/>
      <w:marTop w:val="0"/>
      <w:marBottom w:val="0"/>
      <w:divBdr>
        <w:top w:val="none" w:sz="0" w:space="0" w:color="auto"/>
        <w:left w:val="none" w:sz="0" w:space="0" w:color="auto"/>
        <w:bottom w:val="none" w:sz="0" w:space="0" w:color="auto"/>
        <w:right w:val="none" w:sz="0" w:space="0" w:color="auto"/>
      </w:divBdr>
    </w:div>
    <w:div w:id="462234143">
      <w:bodyDiv w:val="1"/>
      <w:marLeft w:val="0"/>
      <w:marRight w:val="0"/>
      <w:marTop w:val="0"/>
      <w:marBottom w:val="0"/>
      <w:divBdr>
        <w:top w:val="none" w:sz="0" w:space="0" w:color="auto"/>
        <w:left w:val="none" w:sz="0" w:space="0" w:color="auto"/>
        <w:bottom w:val="none" w:sz="0" w:space="0" w:color="auto"/>
        <w:right w:val="none" w:sz="0" w:space="0" w:color="auto"/>
      </w:divBdr>
    </w:div>
    <w:div w:id="651712819">
      <w:bodyDiv w:val="1"/>
      <w:marLeft w:val="0"/>
      <w:marRight w:val="0"/>
      <w:marTop w:val="0"/>
      <w:marBottom w:val="0"/>
      <w:divBdr>
        <w:top w:val="none" w:sz="0" w:space="0" w:color="auto"/>
        <w:left w:val="none" w:sz="0" w:space="0" w:color="auto"/>
        <w:bottom w:val="none" w:sz="0" w:space="0" w:color="auto"/>
        <w:right w:val="none" w:sz="0" w:space="0" w:color="auto"/>
      </w:divBdr>
      <w:divsChild>
        <w:div w:id="457995016">
          <w:marLeft w:val="274"/>
          <w:marRight w:val="0"/>
          <w:marTop w:val="0"/>
          <w:marBottom w:val="0"/>
          <w:divBdr>
            <w:top w:val="none" w:sz="0" w:space="0" w:color="auto"/>
            <w:left w:val="none" w:sz="0" w:space="0" w:color="auto"/>
            <w:bottom w:val="none" w:sz="0" w:space="0" w:color="auto"/>
            <w:right w:val="none" w:sz="0" w:space="0" w:color="auto"/>
          </w:divBdr>
        </w:div>
      </w:divsChild>
    </w:div>
    <w:div w:id="1061833622">
      <w:bodyDiv w:val="1"/>
      <w:marLeft w:val="0"/>
      <w:marRight w:val="0"/>
      <w:marTop w:val="0"/>
      <w:marBottom w:val="0"/>
      <w:divBdr>
        <w:top w:val="none" w:sz="0" w:space="0" w:color="auto"/>
        <w:left w:val="none" w:sz="0" w:space="0" w:color="auto"/>
        <w:bottom w:val="none" w:sz="0" w:space="0" w:color="auto"/>
        <w:right w:val="none" w:sz="0" w:space="0" w:color="auto"/>
      </w:divBdr>
    </w:div>
    <w:div w:id="1174224776">
      <w:bodyDiv w:val="1"/>
      <w:marLeft w:val="0"/>
      <w:marRight w:val="0"/>
      <w:marTop w:val="0"/>
      <w:marBottom w:val="0"/>
      <w:divBdr>
        <w:top w:val="none" w:sz="0" w:space="0" w:color="auto"/>
        <w:left w:val="none" w:sz="0" w:space="0" w:color="auto"/>
        <w:bottom w:val="none" w:sz="0" w:space="0" w:color="auto"/>
        <w:right w:val="none" w:sz="0" w:space="0" w:color="auto"/>
      </w:divBdr>
      <w:divsChild>
        <w:div w:id="430199906">
          <w:marLeft w:val="274"/>
          <w:marRight w:val="0"/>
          <w:marTop w:val="0"/>
          <w:marBottom w:val="0"/>
          <w:divBdr>
            <w:top w:val="none" w:sz="0" w:space="0" w:color="auto"/>
            <w:left w:val="none" w:sz="0" w:space="0" w:color="auto"/>
            <w:bottom w:val="none" w:sz="0" w:space="0" w:color="auto"/>
            <w:right w:val="none" w:sz="0" w:space="0" w:color="auto"/>
          </w:divBdr>
        </w:div>
      </w:divsChild>
    </w:div>
    <w:div w:id="1191189516">
      <w:bodyDiv w:val="1"/>
      <w:marLeft w:val="0"/>
      <w:marRight w:val="0"/>
      <w:marTop w:val="0"/>
      <w:marBottom w:val="0"/>
      <w:divBdr>
        <w:top w:val="none" w:sz="0" w:space="0" w:color="auto"/>
        <w:left w:val="none" w:sz="0" w:space="0" w:color="auto"/>
        <w:bottom w:val="none" w:sz="0" w:space="0" w:color="auto"/>
        <w:right w:val="none" w:sz="0" w:space="0" w:color="auto"/>
      </w:divBdr>
      <w:divsChild>
        <w:div w:id="263152162">
          <w:marLeft w:val="446"/>
          <w:marRight w:val="0"/>
          <w:marTop w:val="0"/>
          <w:marBottom w:val="0"/>
          <w:divBdr>
            <w:top w:val="none" w:sz="0" w:space="0" w:color="auto"/>
            <w:left w:val="none" w:sz="0" w:space="0" w:color="auto"/>
            <w:bottom w:val="none" w:sz="0" w:space="0" w:color="auto"/>
            <w:right w:val="none" w:sz="0" w:space="0" w:color="auto"/>
          </w:divBdr>
        </w:div>
        <w:div w:id="315306110">
          <w:marLeft w:val="274"/>
          <w:marRight w:val="0"/>
          <w:marTop w:val="0"/>
          <w:marBottom w:val="0"/>
          <w:divBdr>
            <w:top w:val="none" w:sz="0" w:space="0" w:color="auto"/>
            <w:left w:val="none" w:sz="0" w:space="0" w:color="auto"/>
            <w:bottom w:val="none" w:sz="0" w:space="0" w:color="auto"/>
            <w:right w:val="none" w:sz="0" w:space="0" w:color="auto"/>
          </w:divBdr>
        </w:div>
        <w:div w:id="494418257">
          <w:marLeft w:val="274"/>
          <w:marRight w:val="0"/>
          <w:marTop w:val="0"/>
          <w:marBottom w:val="0"/>
          <w:divBdr>
            <w:top w:val="none" w:sz="0" w:space="0" w:color="auto"/>
            <w:left w:val="none" w:sz="0" w:space="0" w:color="auto"/>
            <w:bottom w:val="none" w:sz="0" w:space="0" w:color="auto"/>
            <w:right w:val="none" w:sz="0" w:space="0" w:color="auto"/>
          </w:divBdr>
        </w:div>
        <w:div w:id="1511287614">
          <w:marLeft w:val="446"/>
          <w:marRight w:val="0"/>
          <w:marTop w:val="0"/>
          <w:marBottom w:val="0"/>
          <w:divBdr>
            <w:top w:val="none" w:sz="0" w:space="0" w:color="auto"/>
            <w:left w:val="none" w:sz="0" w:space="0" w:color="auto"/>
            <w:bottom w:val="none" w:sz="0" w:space="0" w:color="auto"/>
            <w:right w:val="none" w:sz="0" w:space="0" w:color="auto"/>
          </w:divBdr>
        </w:div>
        <w:div w:id="1771588835">
          <w:marLeft w:val="274"/>
          <w:marRight w:val="0"/>
          <w:marTop w:val="0"/>
          <w:marBottom w:val="0"/>
          <w:divBdr>
            <w:top w:val="none" w:sz="0" w:space="0" w:color="auto"/>
            <w:left w:val="none" w:sz="0" w:space="0" w:color="auto"/>
            <w:bottom w:val="none" w:sz="0" w:space="0" w:color="auto"/>
            <w:right w:val="none" w:sz="0" w:space="0" w:color="auto"/>
          </w:divBdr>
        </w:div>
        <w:div w:id="2012756474">
          <w:marLeft w:val="274"/>
          <w:marRight w:val="0"/>
          <w:marTop w:val="0"/>
          <w:marBottom w:val="0"/>
          <w:divBdr>
            <w:top w:val="none" w:sz="0" w:space="0" w:color="auto"/>
            <w:left w:val="none" w:sz="0" w:space="0" w:color="auto"/>
            <w:bottom w:val="none" w:sz="0" w:space="0" w:color="auto"/>
            <w:right w:val="none" w:sz="0" w:space="0" w:color="auto"/>
          </w:divBdr>
        </w:div>
        <w:div w:id="2100980385">
          <w:marLeft w:val="446"/>
          <w:marRight w:val="0"/>
          <w:marTop w:val="0"/>
          <w:marBottom w:val="0"/>
          <w:divBdr>
            <w:top w:val="none" w:sz="0" w:space="0" w:color="auto"/>
            <w:left w:val="none" w:sz="0" w:space="0" w:color="auto"/>
            <w:bottom w:val="none" w:sz="0" w:space="0" w:color="auto"/>
            <w:right w:val="none" w:sz="0" w:space="0" w:color="auto"/>
          </w:divBdr>
        </w:div>
      </w:divsChild>
    </w:div>
    <w:div w:id="1220095882">
      <w:bodyDiv w:val="1"/>
      <w:marLeft w:val="0"/>
      <w:marRight w:val="0"/>
      <w:marTop w:val="0"/>
      <w:marBottom w:val="0"/>
      <w:divBdr>
        <w:top w:val="none" w:sz="0" w:space="0" w:color="auto"/>
        <w:left w:val="none" w:sz="0" w:space="0" w:color="auto"/>
        <w:bottom w:val="none" w:sz="0" w:space="0" w:color="auto"/>
        <w:right w:val="none" w:sz="0" w:space="0" w:color="auto"/>
      </w:divBdr>
      <w:divsChild>
        <w:div w:id="220559743">
          <w:marLeft w:val="274"/>
          <w:marRight w:val="0"/>
          <w:marTop w:val="0"/>
          <w:marBottom w:val="0"/>
          <w:divBdr>
            <w:top w:val="none" w:sz="0" w:space="0" w:color="auto"/>
            <w:left w:val="none" w:sz="0" w:space="0" w:color="auto"/>
            <w:bottom w:val="none" w:sz="0" w:space="0" w:color="auto"/>
            <w:right w:val="none" w:sz="0" w:space="0" w:color="auto"/>
          </w:divBdr>
        </w:div>
        <w:div w:id="1632049773">
          <w:marLeft w:val="274"/>
          <w:marRight w:val="0"/>
          <w:marTop w:val="0"/>
          <w:marBottom w:val="0"/>
          <w:divBdr>
            <w:top w:val="none" w:sz="0" w:space="0" w:color="auto"/>
            <w:left w:val="none" w:sz="0" w:space="0" w:color="auto"/>
            <w:bottom w:val="none" w:sz="0" w:space="0" w:color="auto"/>
            <w:right w:val="none" w:sz="0" w:space="0" w:color="auto"/>
          </w:divBdr>
        </w:div>
      </w:divsChild>
    </w:div>
    <w:div w:id="1221089199">
      <w:bodyDiv w:val="1"/>
      <w:marLeft w:val="0"/>
      <w:marRight w:val="0"/>
      <w:marTop w:val="0"/>
      <w:marBottom w:val="0"/>
      <w:divBdr>
        <w:top w:val="none" w:sz="0" w:space="0" w:color="auto"/>
        <w:left w:val="none" w:sz="0" w:space="0" w:color="auto"/>
        <w:bottom w:val="none" w:sz="0" w:space="0" w:color="auto"/>
        <w:right w:val="none" w:sz="0" w:space="0" w:color="auto"/>
      </w:divBdr>
      <w:divsChild>
        <w:div w:id="217714037">
          <w:marLeft w:val="274"/>
          <w:marRight w:val="0"/>
          <w:marTop w:val="0"/>
          <w:marBottom w:val="0"/>
          <w:divBdr>
            <w:top w:val="none" w:sz="0" w:space="0" w:color="auto"/>
            <w:left w:val="none" w:sz="0" w:space="0" w:color="auto"/>
            <w:bottom w:val="none" w:sz="0" w:space="0" w:color="auto"/>
            <w:right w:val="none" w:sz="0" w:space="0" w:color="auto"/>
          </w:divBdr>
        </w:div>
      </w:divsChild>
    </w:div>
    <w:div w:id="1229026677">
      <w:bodyDiv w:val="1"/>
      <w:marLeft w:val="0"/>
      <w:marRight w:val="0"/>
      <w:marTop w:val="0"/>
      <w:marBottom w:val="0"/>
      <w:divBdr>
        <w:top w:val="none" w:sz="0" w:space="0" w:color="auto"/>
        <w:left w:val="none" w:sz="0" w:space="0" w:color="auto"/>
        <w:bottom w:val="none" w:sz="0" w:space="0" w:color="auto"/>
        <w:right w:val="none" w:sz="0" w:space="0" w:color="auto"/>
      </w:divBdr>
    </w:div>
    <w:div w:id="1304433498">
      <w:bodyDiv w:val="1"/>
      <w:marLeft w:val="0"/>
      <w:marRight w:val="0"/>
      <w:marTop w:val="0"/>
      <w:marBottom w:val="0"/>
      <w:divBdr>
        <w:top w:val="none" w:sz="0" w:space="0" w:color="auto"/>
        <w:left w:val="none" w:sz="0" w:space="0" w:color="auto"/>
        <w:bottom w:val="none" w:sz="0" w:space="0" w:color="auto"/>
        <w:right w:val="none" w:sz="0" w:space="0" w:color="auto"/>
      </w:divBdr>
      <w:divsChild>
        <w:div w:id="746461348">
          <w:marLeft w:val="562"/>
          <w:marRight w:val="0"/>
          <w:marTop w:val="0"/>
          <w:marBottom w:val="0"/>
          <w:divBdr>
            <w:top w:val="none" w:sz="0" w:space="0" w:color="auto"/>
            <w:left w:val="none" w:sz="0" w:space="0" w:color="auto"/>
            <w:bottom w:val="none" w:sz="0" w:space="0" w:color="auto"/>
            <w:right w:val="none" w:sz="0" w:space="0" w:color="auto"/>
          </w:divBdr>
        </w:div>
        <w:div w:id="946036664">
          <w:marLeft w:val="562"/>
          <w:marRight w:val="0"/>
          <w:marTop w:val="0"/>
          <w:marBottom w:val="0"/>
          <w:divBdr>
            <w:top w:val="none" w:sz="0" w:space="0" w:color="auto"/>
            <w:left w:val="none" w:sz="0" w:space="0" w:color="auto"/>
            <w:bottom w:val="none" w:sz="0" w:space="0" w:color="auto"/>
            <w:right w:val="none" w:sz="0" w:space="0" w:color="auto"/>
          </w:divBdr>
        </w:div>
      </w:divsChild>
    </w:div>
    <w:div w:id="1414400359">
      <w:bodyDiv w:val="1"/>
      <w:marLeft w:val="0"/>
      <w:marRight w:val="0"/>
      <w:marTop w:val="0"/>
      <w:marBottom w:val="0"/>
      <w:divBdr>
        <w:top w:val="none" w:sz="0" w:space="0" w:color="auto"/>
        <w:left w:val="none" w:sz="0" w:space="0" w:color="auto"/>
        <w:bottom w:val="none" w:sz="0" w:space="0" w:color="auto"/>
        <w:right w:val="none" w:sz="0" w:space="0" w:color="auto"/>
      </w:divBdr>
    </w:div>
    <w:div w:id="1501656723">
      <w:bodyDiv w:val="1"/>
      <w:marLeft w:val="0"/>
      <w:marRight w:val="0"/>
      <w:marTop w:val="0"/>
      <w:marBottom w:val="0"/>
      <w:divBdr>
        <w:top w:val="none" w:sz="0" w:space="0" w:color="auto"/>
        <w:left w:val="none" w:sz="0" w:space="0" w:color="auto"/>
        <w:bottom w:val="none" w:sz="0" w:space="0" w:color="auto"/>
        <w:right w:val="none" w:sz="0" w:space="0" w:color="auto"/>
      </w:divBdr>
      <w:divsChild>
        <w:div w:id="2070226599">
          <w:marLeft w:val="274"/>
          <w:marRight w:val="0"/>
          <w:marTop w:val="0"/>
          <w:marBottom w:val="0"/>
          <w:divBdr>
            <w:top w:val="none" w:sz="0" w:space="0" w:color="auto"/>
            <w:left w:val="none" w:sz="0" w:space="0" w:color="auto"/>
            <w:bottom w:val="none" w:sz="0" w:space="0" w:color="auto"/>
            <w:right w:val="none" w:sz="0" w:space="0" w:color="auto"/>
          </w:divBdr>
        </w:div>
      </w:divsChild>
    </w:div>
    <w:div w:id="1706640495">
      <w:bodyDiv w:val="1"/>
      <w:marLeft w:val="0"/>
      <w:marRight w:val="0"/>
      <w:marTop w:val="0"/>
      <w:marBottom w:val="0"/>
      <w:divBdr>
        <w:top w:val="none" w:sz="0" w:space="0" w:color="auto"/>
        <w:left w:val="none" w:sz="0" w:space="0" w:color="auto"/>
        <w:bottom w:val="none" w:sz="0" w:space="0" w:color="auto"/>
        <w:right w:val="none" w:sz="0" w:space="0" w:color="auto"/>
      </w:divBdr>
      <w:divsChild>
        <w:div w:id="1166743269">
          <w:marLeft w:val="562"/>
          <w:marRight w:val="0"/>
          <w:marTop w:val="0"/>
          <w:marBottom w:val="0"/>
          <w:divBdr>
            <w:top w:val="none" w:sz="0" w:space="0" w:color="auto"/>
            <w:left w:val="none" w:sz="0" w:space="0" w:color="auto"/>
            <w:bottom w:val="none" w:sz="0" w:space="0" w:color="auto"/>
            <w:right w:val="none" w:sz="0" w:space="0" w:color="auto"/>
          </w:divBdr>
        </w:div>
      </w:divsChild>
    </w:div>
    <w:div w:id="1730956738">
      <w:bodyDiv w:val="1"/>
      <w:marLeft w:val="0"/>
      <w:marRight w:val="0"/>
      <w:marTop w:val="0"/>
      <w:marBottom w:val="0"/>
      <w:divBdr>
        <w:top w:val="none" w:sz="0" w:space="0" w:color="auto"/>
        <w:left w:val="none" w:sz="0" w:space="0" w:color="auto"/>
        <w:bottom w:val="none" w:sz="0" w:space="0" w:color="auto"/>
        <w:right w:val="none" w:sz="0" w:space="0" w:color="auto"/>
      </w:divBdr>
      <w:divsChild>
        <w:div w:id="1170292718">
          <w:marLeft w:val="274"/>
          <w:marRight w:val="0"/>
          <w:marTop w:val="0"/>
          <w:marBottom w:val="0"/>
          <w:divBdr>
            <w:top w:val="none" w:sz="0" w:space="0" w:color="auto"/>
            <w:left w:val="none" w:sz="0" w:space="0" w:color="auto"/>
            <w:bottom w:val="none" w:sz="0" w:space="0" w:color="auto"/>
            <w:right w:val="none" w:sz="0" w:space="0" w:color="auto"/>
          </w:divBdr>
        </w:div>
        <w:div w:id="1759206396">
          <w:marLeft w:val="274"/>
          <w:marRight w:val="0"/>
          <w:marTop w:val="0"/>
          <w:marBottom w:val="0"/>
          <w:divBdr>
            <w:top w:val="none" w:sz="0" w:space="0" w:color="auto"/>
            <w:left w:val="none" w:sz="0" w:space="0" w:color="auto"/>
            <w:bottom w:val="none" w:sz="0" w:space="0" w:color="auto"/>
            <w:right w:val="none" w:sz="0" w:space="0" w:color="auto"/>
          </w:divBdr>
        </w:div>
      </w:divsChild>
    </w:div>
    <w:div w:id="193266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na@parliament.go.ke"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financecommitteena@parliament.go.ke" TargetMode="External"/><Relationship Id="rId17" Type="http://schemas.openxmlformats.org/officeDocument/2006/relationships/image" Target="media/image2.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pchege@deloitte.co.k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mailto:fkimotho@deloitte.co.ke" TargetMode="External"/><Relationship Id="rId23" Type="http://schemas.openxmlformats.org/officeDocument/2006/relationships/hyperlink" Target="https://gra.gov.gh/domestic-tax/tax-types/paye/"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omondi@deloitte.co.ke" TargetMode="External"/><Relationship Id="rId22" Type="http://schemas.openxmlformats.org/officeDocument/2006/relationships/hyperlink" Target="https://www.firs.gov.ng/wp-content/uploads/2021/07/Personal-Income-Tax-Act.pdf"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063AFFC6A1E642B1B72B1BD7BA4D65" ma:contentTypeVersion="12" ma:contentTypeDescription="Create a new document." ma:contentTypeScope="" ma:versionID="d16b1d1122a77f1ba55ca24f2cdd7bd1">
  <xsd:schema xmlns:xsd="http://www.w3.org/2001/XMLSchema" xmlns:xs="http://www.w3.org/2001/XMLSchema" xmlns:p="http://schemas.microsoft.com/office/2006/metadata/properties" xmlns:ns3="418b8e46-89fb-4bcb-8026-a1082daa6439" xmlns:ns4="bcb3269f-c1e4-4bfa-9bb9-7d92cf15a07c" targetNamespace="http://schemas.microsoft.com/office/2006/metadata/properties" ma:root="true" ma:fieldsID="2db337011d5eda1ce60c61bd12c688e2" ns3:_="" ns4:_="">
    <xsd:import namespace="418b8e46-89fb-4bcb-8026-a1082daa6439"/>
    <xsd:import namespace="bcb3269f-c1e4-4bfa-9bb9-7d92cf15a07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8b8e46-89fb-4bcb-8026-a1082daa6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b3269f-c1e4-4bfa-9bb9-7d92cf15a07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49883-DEDA-4B3A-A8C9-898AFFBEA4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FF5B25B-B16B-4659-B6DC-E268B975E351}">
  <ds:schemaRefs>
    <ds:schemaRef ds:uri="http://schemas.microsoft.com/sharepoint/v3/contenttype/forms"/>
  </ds:schemaRefs>
</ds:datastoreItem>
</file>

<file path=customXml/itemProps3.xml><?xml version="1.0" encoding="utf-8"?>
<ds:datastoreItem xmlns:ds="http://schemas.openxmlformats.org/officeDocument/2006/customXml" ds:itemID="{9D070502-2B89-45CC-944E-FAB2646085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8b8e46-89fb-4bcb-8026-a1082daa6439"/>
    <ds:schemaRef ds:uri="bcb3269f-c1e4-4bfa-9bb9-7d92cf15a0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711D8C-87D8-4BF3-AA6D-AD1421887816}">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30</Pages>
  <Words>7585</Words>
  <Characters>43235</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Ogutu, Fredrick</dc:creator>
  <cp:keywords/>
  <dc:description/>
  <cp:lastModifiedBy>Kimotho, Fredrick</cp:lastModifiedBy>
  <cp:revision>12</cp:revision>
  <cp:lastPrinted>2025-05-26T05:38:00Z</cp:lastPrinted>
  <dcterms:created xsi:type="dcterms:W3CDTF">2025-05-26T05:29:00Z</dcterms:created>
  <dcterms:modified xsi:type="dcterms:W3CDTF">2025-05-26T05:39:00Z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0x01010095063AFFC6A1E642B1B72B1BD7BA4D65</vt:lpwstr>
  </property>
  <property fmtid="{D5CDD505-2E9C-101B-9397-08002B2CF9AE}" pid="3" name="MSIP_Label_ea60d57e-af5b-4752-ac57-3e4f28ca11dc_Enabled">
    <vt:lpwstr>true</vt:lpwstr>
  </property>
  <property fmtid="{D5CDD505-2E9C-101B-9397-08002B2CF9AE}" pid="4" name="MSIP_Label_ea60d57e-af5b-4752-ac57-3e4f28ca11dc_SetDate">
    <vt:lpwstr>2021-08-19T02:24:52Z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eeb2df4f-f7b6-49ff-93f9-010cd192d675</vt:lpwstr>
  </property>
  <property fmtid="{D5CDD505-2E9C-101B-9397-08002B2CF9AE}" pid="9" name="MSIP_Label_ea60d57e-af5b-4752-ac57-3e4f28ca11dc_ContentBits">
    <vt:lpwstr>0</vt:lpwstr>
  </property>
</Properties>
</file>